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6850"/>
        </w:tabs>
        <w:spacing w:line="600" w:lineRule="exact"/>
        <w:jc w:val="left"/>
        <w:rPr>
          <w:szCs w:val="32"/>
        </w:rPr>
      </w:pPr>
      <w:r>
        <w:rPr>
          <w:rFonts w:hint="eastAsia"/>
          <w:szCs w:val="32"/>
        </w:rPr>
        <w:tab/>
      </w:r>
    </w:p>
    <w:p>
      <w:pPr>
        <w:widowControl/>
        <w:tabs>
          <w:tab w:val="left" w:pos="7200"/>
        </w:tabs>
        <w:adjustRightInd w:val="0"/>
        <w:snapToGrid w:val="0"/>
        <w:spacing w:line="600" w:lineRule="exact"/>
        <w:jc w:val="center"/>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sz w:val="44"/>
          <w:szCs w:val="44"/>
        </w:rPr>
        <w:t>关于做好2020年</w:t>
      </w:r>
      <w:r>
        <w:rPr>
          <w:rFonts w:hint="eastAsia" w:ascii="方正小标宋简体" w:hAnsi="方正小标宋简体" w:eastAsia="方正小标宋简体" w:cs="方正小标宋简体"/>
          <w:bCs/>
          <w:color w:val="000000"/>
          <w:sz w:val="44"/>
          <w:szCs w:val="44"/>
        </w:rPr>
        <w:t>兵团订单定向</w:t>
      </w:r>
    </w:p>
    <w:p>
      <w:pPr>
        <w:widowControl/>
        <w:tabs>
          <w:tab w:val="left" w:pos="7200"/>
        </w:tabs>
        <w:adjustRightInd w:val="0"/>
        <w:snapToGrid w:val="0"/>
        <w:spacing w:line="60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bCs/>
          <w:color w:val="000000"/>
          <w:sz w:val="44"/>
          <w:szCs w:val="44"/>
        </w:rPr>
        <w:t>免费本科医学生培养项目有关工作的</w:t>
      </w:r>
      <w:r>
        <w:rPr>
          <w:rFonts w:hint="eastAsia" w:ascii="方正小标宋简体" w:hAnsi="方正小标宋简体" w:eastAsia="方正小标宋简体" w:cs="方正小标宋简体"/>
          <w:sz w:val="44"/>
          <w:szCs w:val="44"/>
        </w:rPr>
        <w:t>通知</w:t>
      </w:r>
    </w:p>
    <w:p>
      <w:pPr>
        <w:spacing w:line="520" w:lineRule="exact"/>
        <w:jc w:val="center"/>
        <w:rPr>
          <w:rFonts w:eastAsia="仿宋_GB2312"/>
        </w:rPr>
      </w:pPr>
      <w:r>
        <w:rPr>
          <w:rFonts w:hint="eastAsia" w:ascii="仿宋_GB2312" w:eastAsia="仿宋_GB2312"/>
          <w:spacing w:val="-26"/>
          <w:sz w:val="32"/>
          <w:szCs w:val="32"/>
        </w:rPr>
        <w:t>兵卫发电〔2020〕 34号</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各师市卫生健康行政部门、人力资源和社会保障局、教育局，石河子大学：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为贯彻落实《教育部</w:t>
      </w:r>
      <w:bookmarkStart w:id="1" w:name="_GoBack"/>
      <w:bookmarkEnd w:id="1"/>
      <w:r>
        <w:rPr>
          <w:rFonts w:hint="eastAsia" w:ascii="仿宋_GB2312" w:hAnsi="仿宋_GB2312" w:eastAsia="仿宋_GB2312" w:cs="仿宋_GB2312"/>
          <w:sz w:val="32"/>
          <w:szCs w:val="32"/>
        </w:rPr>
        <w:t>等6部门关于进一步做好农村订单定向医学生免费培养工作的意见》（教高〔2015〕6号）和国家下达的2020年农村订单定向医学生免费培养任务，结合兵团实际，现就做好2020年兵团订单定向免费本科医学生培养有关工作通知如下：</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2020年中央财政支持兵团团场医院培养订单定向免费五年制本科医学生（全科方向）共计50人，由石河子大学承担教学任务。按照向南发展、侧重边境贫困团场的原则，在征求各师市卫生局意见的基础上，兼顾各师团场医院人才岗位需求情况，将50个名额分配给各师市（详见附件1）。</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二、根据《教育部办公厅关于做好</w:t>
      </w:r>
      <w:r>
        <w:rPr>
          <w:rFonts w:hint="eastAsia" w:ascii="仿宋_GB2312" w:hAnsi="仿宋_GB2312" w:eastAsia="仿宋_GB2312" w:cs="仿宋_GB2312"/>
          <w:color w:val="000000"/>
          <w:sz w:val="32"/>
          <w:szCs w:val="32"/>
        </w:rPr>
        <w:t>2020</w:t>
      </w:r>
      <w:r>
        <w:rPr>
          <w:rFonts w:hint="eastAsia" w:ascii="仿宋_GB2312" w:hAnsi="仿宋_GB2312" w:eastAsia="仿宋_GB2312" w:cs="仿宋_GB2312"/>
          <w:sz w:val="32"/>
          <w:szCs w:val="32"/>
        </w:rPr>
        <w:t>年中央财政支持中西部农村订单定向免费本科医学生招生培养工作的通知》（教高厅函〔2020〕8号）精神，中央财政支持的免费本科医学生订单定向招生计划在有关高校的本科层次招生来源计划中单列编制，计划性质为“国家免费医学生”。</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考免费医学生定向招生计划的考生均须参加当年全国统一高考，实行单列志愿、单设批次、单独划线，在本科提前批次录取，仅录取有专业志愿的兵团团场考生，优先录取定岗单位所在师市生源，在所在师市生源不足的情况下，同一志愿内可调剂录取其他师市生源，在所有志愿运转完毕后，未完成的计划面向兵团团场和全区农村学生补征集志愿方式从高分到低分顺序录取，直至完成计划（在投档考生中，同一志愿优先取兵团系统考生）。</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已被录取为免费医学生的考生不再退档。免费医学生被录取后、获得入学通知书前，须与相关师市卫生健康行政部门、人力资源和社会保障局、教育局签署《新疆生产建设兵团团场订单定向免费培养医学人才定向就业协议书》（详见附件2），承诺毕业后到定向单位服务6年，未在规定时间内与相关定向就业单位签订协议的考生，将视为自动放弃，不予报到。</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本年度招生计划面向全区参加2020年普通高等学校招生全国统一考试、自愿填报免费订单定向医学专业志愿的考生。免费定向本科医学生只招收团场或农村生源，报考学生须同时具备下列条件：（1）符合2020年统一高考报名条件；（2）本人及父亲或母亲及法定监护人户籍地需在团场或农村，本人具有所在团场或农村连续三年以上户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本计划纳入国家普通高等学校年度招生计划，按照国家普通高校正规学籍管理。学生在校期间，享受国家普通本科生相关政策待遇，免除学费、住宿费。同时，可在国家助学金补助标准内，获得生活补助。学生毕业后，按照《执业医师法》规定，允许参加国家执业医师资格考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五、各师市卫生健康行政部门和教育局要围绕以下重点内容，有针对性地做好招生政策的宣传工作，争取更多符合条件的考生填报本计划相关专业。</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考生要充分了解招生相关政策，正确填报农村订单定向免费医学生培养计划志愿，并按要求及时与定向岗位所在师市卫生健康行政部门、人力资源和社会保障局、教育局签订《新疆生产建设兵团团场订单定向免费培养医学人才定向就业协议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（二）考生被录取为免费医学生后，在校学习期间，不得申请调整学校和专业，并遵守协议相关内容。毕业后，所有农村订单定向培养的免费医学生均须参加住院医师规范化培训（全科专业），必须在</w:t>
      </w:r>
      <w:bookmarkStart w:id="0" w:name="OLE_LINK1"/>
      <w:r>
        <w:rPr>
          <w:rFonts w:hint="eastAsia" w:ascii="仿宋_GB2312" w:hAnsi="仿宋_GB2312" w:eastAsia="仿宋_GB2312" w:cs="仿宋_GB2312"/>
          <w:sz w:val="32"/>
          <w:szCs w:val="32"/>
        </w:rPr>
        <w:t>兵团住院医师规范化培训</w:t>
      </w:r>
      <w:bookmarkEnd w:id="0"/>
      <w:r>
        <w:rPr>
          <w:rFonts w:hint="eastAsia" w:ascii="仿宋_GB2312" w:hAnsi="仿宋_GB2312" w:eastAsia="仿宋_GB2312" w:cs="仿宋_GB2312"/>
          <w:sz w:val="32"/>
          <w:szCs w:val="32"/>
        </w:rPr>
        <w:t>基地医院接受3年全科医师规范化培训，取得《住院医师规范化培训合格证书》后，按照入学前签订的《新疆生产建设兵团团场订单定向免费培养医学人才定向就业协议书》，到定向岗位所在师市卫生健康行政部门报到。住院医师规范化培训期间不得参加全日制硕士研究生统一招考。完成住院医师规范化培训并取得《住院医师规范化培训合格证书》后，符合相应条件者，可向学位授予单位申请全科医学专业硕士研究生学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团场卫生机构按照有关规定与本计划相关专业并完成住院医师规范化培训的毕业生签订聘用合同，办理聘用手续，实行合同管理。学员要在团场卫生机构就业，并连续工作6年以上（参加住院医师规范化培训并取得《住院医师规范化培训合格证书》者可将3年住院医师规范化培训期计入定向单位的服务期内）。</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各师市卫生健康行政部门、人力资源和社会保障局、教育局应按时与被录取考生签订兵团卫生健康委、人力资源和社会保障局、教育局统一印制的《新疆生产建设兵团团场订单定向免费培养医学人才定向就业协议书》，并将《2020年兵团订单定向免费本科医学生培养报考生基本信息统计表》（详见附件3）以书面（加盖单位公章）及电子版形式上报兵团卫生健康委医政医管处和兵团教育局高教处。</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新疆生产建设兵团团场订单定向免费培养医学人才定向就业协议书》未尽事宜，各师市可根据具体情况制定补充协议。各师市制定的补充协议需经兵团卫生健康委、人力资源和社会保障局、教育局认可后生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石河子大学要切实做好免费医学生培养工作，根据团场基层卫生工作岗位需求，积极开展相关培养模式研究和改革，培养适应团场基层卫生工作需要的全科医学毕业生。在新生入学报到时，石河子大学要认真核实学生是否已签订《新疆生产建设兵团团场订单定向免费培养医学人才定向就业协议书》，未签协议者不予报到，并定期将培养实施情况报送兵团教育局和卫生健康委。</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兵团卫生健康委医政医管处联系人：康红柱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联系电话：0991-2899219，电子邮箱：xjbtyzc@163.com</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兵团教育局高教处联系人：程俊翕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联系电话：0991-2896297，电子邮箱：btjyjgjc@sina.com</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附件：1.2020年中央财政补助兵团订单定向本科医学生免费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培养项目分配表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2.新疆生产建设兵团团场订单定向免费培养医学人才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定向就业协议书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3.2020年兵团订单定向免费本科医学生培养报考生基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本信息统计表</w:t>
      </w:r>
    </w:p>
    <w:p>
      <w:pPr>
        <w:widowControl/>
        <w:tabs>
          <w:tab w:val="left" w:pos="1908"/>
          <w:tab w:val="left" w:pos="7200"/>
        </w:tabs>
        <w:adjustRightInd w:val="0"/>
        <w:snapToGrid w:val="0"/>
        <w:spacing w:line="560" w:lineRule="exact"/>
        <w:rPr>
          <w:rFonts w:ascii="仿宋_GB2312" w:hAnsi="宋体" w:eastAsia="仿宋_GB2312" w:cs="宋体"/>
          <w:bCs/>
          <w:color w:val="000000"/>
          <w:sz w:val="32"/>
          <w:szCs w:val="32"/>
        </w:rPr>
      </w:pPr>
    </w:p>
    <w:p>
      <w:pPr>
        <w:widowControl/>
        <w:tabs>
          <w:tab w:val="left" w:pos="1908"/>
          <w:tab w:val="left" w:pos="7200"/>
        </w:tabs>
        <w:adjustRightInd w:val="0"/>
        <w:snapToGrid w:val="0"/>
        <w:spacing w:line="560" w:lineRule="exact"/>
        <w:rPr>
          <w:rFonts w:ascii="仿宋_GB2312" w:hAnsi="宋体" w:eastAsia="仿宋_GB2312" w:cs="宋体"/>
          <w:bCs/>
          <w:color w:val="000000"/>
          <w:sz w:val="32"/>
          <w:szCs w:val="32"/>
        </w:rPr>
      </w:pPr>
    </w:p>
    <w:p>
      <w:pPr>
        <w:adjustRightInd w:val="0"/>
        <w:snapToGrid w:val="0"/>
        <w:spacing w:line="560" w:lineRule="exact"/>
        <w:ind w:firstLine="4450" w:firstLineChars="1250"/>
        <w:rPr>
          <w:rFonts w:ascii="仿宋_GB2312" w:eastAsia="仿宋_GB2312"/>
          <w:spacing w:val="18"/>
          <w:sz w:val="32"/>
          <w:szCs w:val="32"/>
        </w:rPr>
      </w:pPr>
      <w:r>
        <w:rPr>
          <w:rFonts w:hint="eastAsia" w:ascii="仿宋_GB2312" w:eastAsia="仿宋_GB2312"/>
          <w:spacing w:val="18"/>
          <w:sz w:val="32"/>
          <w:szCs w:val="32"/>
        </w:rPr>
        <w:t>兵 团 卫 生 健 康 委</w:t>
      </w:r>
    </w:p>
    <w:p>
      <w:pPr>
        <w:adjustRightInd w:val="0"/>
        <w:snapToGrid w:val="0"/>
        <w:spacing w:line="560" w:lineRule="exact"/>
        <w:ind w:firstLine="4420" w:firstLineChars="1300"/>
        <w:rPr>
          <w:rFonts w:ascii="仿宋_GB2312" w:eastAsia="仿宋_GB2312"/>
          <w:spacing w:val="10"/>
          <w:sz w:val="32"/>
          <w:szCs w:val="32"/>
        </w:rPr>
      </w:pPr>
      <w:r>
        <w:rPr>
          <w:rFonts w:hint="eastAsia" w:ascii="仿宋_GB2312" w:eastAsia="仿宋_GB2312"/>
          <w:spacing w:val="10"/>
          <w:sz w:val="32"/>
          <w:szCs w:val="32"/>
        </w:rPr>
        <w:t>兵团</w:t>
      </w:r>
      <w:r>
        <w:rPr>
          <w:rFonts w:hint="eastAsia" w:ascii="仿宋_GB2312" w:eastAsia="仿宋_GB2312"/>
          <w:sz w:val="32"/>
          <w:szCs w:val="32"/>
        </w:rPr>
        <w:t>人力资源和社会保障局</w:t>
      </w:r>
    </w:p>
    <w:p>
      <w:pPr>
        <w:adjustRightInd w:val="0"/>
        <w:snapToGrid w:val="0"/>
        <w:spacing w:line="560" w:lineRule="exact"/>
        <w:ind w:firstLine="4450" w:firstLineChars="1250"/>
        <w:rPr>
          <w:rFonts w:ascii="仿宋_GB2312" w:eastAsia="仿宋_GB2312"/>
          <w:spacing w:val="18"/>
          <w:sz w:val="32"/>
          <w:szCs w:val="32"/>
        </w:rPr>
      </w:pPr>
      <w:r>
        <w:rPr>
          <w:rFonts w:hint="eastAsia" w:ascii="仿宋_GB2312" w:eastAsia="仿宋_GB2312"/>
          <w:spacing w:val="18"/>
          <w:sz w:val="32"/>
          <w:szCs w:val="32"/>
        </w:rPr>
        <w:t>兵  团  教  育  局</w:t>
      </w:r>
    </w:p>
    <w:p>
      <w:pPr>
        <w:widowControl/>
        <w:tabs>
          <w:tab w:val="left" w:pos="7200"/>
        </w:tabs>
        <w:spacing w:line="560" w:lineRule="exact"/>
        <w:rPr>
          <w:rFonts w:ascii="仿宋_GB2312" w:hAnsi="宋体" w:eastAsia="仿宋_GB2312" w:cs="宋体"/>
          <w:bCs/>
          <w:color w:val="000000"/>
          <w:szCs w:val="32"/>
        </w:rPr>
      </w:pPr>
      <w:r>
        <w:rPr>
          <w:rFonts w:hint="eastAsia" w:ascii="仿宋_GB2312" w:hAnsi="宋体" w:eastAsia="仿宋_GB2312" w:cs="宋体"/>
          <w:bCs/>
          <w:color w:val="000000"/>
          <w:sz w:val="32"/>
          <w:szCs w:val="32"/>
        </w:rPr>
        <w:t xml:space="preserve">                                2020年7月10日</w:t>
      </w:r>
    </w:p>
    <w:p>
      <w:pPr>
        <w:pStyle w:val="2"/>
        <w:spacing w:line="520" w:lineRule="exact"/>
        <w:rPr>
          <w:snapToGrid w:val="0"/>
          <w:spacing w:val="4"/>
        </w:rPr>
      </w:pPr>
    </w:p>
    <w:p>
      <w:pPr>
        <w:widowControl/>
        <w:tabs>
          <w:tab w:val="left" w:pos="7200"/>
        </w:tabs>
        <w:spacing w:line="600" w:lineRule="exact"/>
        <w:rPr>
          <w:rFonts w:ascii="黑体" w:hAnsi="宋体" w:eastAsia="黑体" w:cs="宋体"/>
          <w:bCs/>
          <w:color w:val="000000"/>
          <w:sz w:val="32"/>
          <w:szCs w:val="32"/>
        </w:rPr>
      </w:pPr>
    </w:p>
    <w:p>
      <w:pPr>
        <w:widowControl/>
        <w:tabs>
          <w:tab w:val="left" w:pos="7200"/>
        </w:tabs>
        <w:spacing w:line="600" w:lineRule="exact"/>
        <w:rPr>
          <w:rFonts w:ascii="黑体" w:hAnsi="宋体" w:eastAsia="黑体" w:cs="宋体"/>
          <w:bCs/>
          <w:color w:val="000000"/>
          <w:sz w:val="32"/>
          <w:szCs w:val="32"/>
        </w:rPr>
      </w:pPr>
    </w:p>
    <w:p>
      <w:pPr>
        <w:spacing w:line="560" w:lineRule="exact"/>
        <w:jc w:val="left"/>
        <w:rPr>
          <w:rFonts w:ascii="黑体" w:hAnsi="宋体" w:eastAsia="黑体" w:cs="宋体"/>
          <w:bCs/>
          <w:color w:val="000000"/>
          <w:sz w:val="32"/>
          <w:szCs w:val="32"/>
        </w:rPr>
      </w:pPr>
      <w:r>
        <w:rPr>
          <w:rFonts w:hint="eastAsia" w:ascii="黑体" w:hAnsi="宋体" w:eastAsia="黑体" w:cs="宋体"/>
          <w:bCs/>
          <w:color w:val="000000"/>
          <w:sz w:val="32"/>
          <w:szCs w:val="32"/>
        </w:rPr>
        <w:t>附件1</w:t>
      </w:r>
    </w:p>
    <w:tbl>
      <w:tblPr>
        <w:tblStyle w:val="8"/>
        <w:tblW w:w="9084" w:type="dxa"/>
        <w:tblInd w:w="96" w:type="dxa"/>
        <w:tblLayout w:type="autofit"/>
        <w:tblCellMar>
          <w:top w:w="0" w:type="dxa"/>
          <w:left w:w="108" w:type="dxa"/>
          <w:bottom w:w="0" w:type="dxa"/>
          <w:right w:w="108" w:type="dxa"/>
        </w:tblCellMar>
      </w:tblPr>
      <w:tblGrid>
        <w:gridCol w:w="1180"/>
        <w:gridCol w:w="2440"/>
        <w:gridCol w:w="2204"/>
        <w:gridCol w:w="1418"/>
        <w:gridCol w:w="850"/>
        <w:gridCol w:w="992"/>
      </w:tblGrid>
      <w:tr>
        <w:tblPrEx>
          <w:tblCellMar>
            <w:top w:w="0" w:type="dxa"/>
            <w:left w:w="108" w:type="dxa"/>
            <w:bottom w:w="0" w:type="dxa"/>
            <w:right w:w="108" w:type="dxa"/>
          </w:tblCellMar>
        </w:tblPrEx>
        <w:trPr>
          <w:trHeight w:val="624" w:hRule="atLeast"/>
        </w:trPr>
        <w:tc>
          <w:tcPr>
            <w:tcW w:w="9084" w:type="dxa"/>
            <w:gridSpan w:val="6"/>
            <w:tcBorders>
              <w:top w:val="nil"/>
              <w:left w:val="nil"/>
              <w:bottom w:val="single" w:color="000000" w:sz="4" w:space="0"/>
              <w:right w:val="nil"/>
            </w:tcBorders>
            <w:vAlign w:val="center"/>
          </w:tcPr>
          <w:p>
            <w:pPr>
              <w:spacing w:line="560" w:lineRule="exact"/>
              <w:jc w:val="center"/>
              <w:rPr>
                <w:rFonts w:ascii="方正小标宋简体" w:hAnsi="仿宋_GB2312" w:eastAsia="方正小标宋简体" w:cs="仿宋_GB2312"/>
                <w:sz w:val="44"/>
                <w:szCs w:val="44"/>
              </w:rPr>
            </w:pPr>
            <w:r>
              <w:rPr>
                <w:rFonts w:hint="eastAsia" w:ascii="方正小标宋简体" w:hAnsi="仿宋_GB2312" w:eastAsia="方正小标宋简体" w:cs="仿宋_GB2312"/>
                <w:sz w:val="44"/>
                <w:szCs w:val="44"/>
              </w:rPr>
              <w:t>2020年中央财政补助兵团</w:t>
            </w:r>
          </w:p>
          <w:p>
            <w:pPr>
              <w:spacing w:line="560" w:lineRule="exact"/>
              <w:jc w:val="center"/>
              <w:rPr>
                <w:rFonts w:ascii="方正小标宋简体" w:hAnsi="仿宋_GB2312" w:eastAsia="方正小标宋简体" w:cs="仿宋_GB2312"/>
                <w:sz w:val="44"/>
                <w:szCs w:val="44"/>
              </w:rPr>
            </w:pPr>
            <w:r>
              <w:rPr>
                <w:rFonts w:hint="eastAsia" w:ascii="方正小标宋简体" w:hAnsi="仿宋_GB2312" w:eastAsia="方正小标宋简体" w:cs="仿宋_GB2312"/>
                <w:sz w:val="44"/>
                <w:szCs w:val="44"/>
              </w:rPr>
              <w:t>订单定向本科医学生免费培养项目分配表</w:t>
            </w:r>
          </w:p>
          <w:p>
            <w:pPr>
              <w:widowControl/>
              <w:spacing w:line="580" w:lineRule="exact"/>
              <w:jc w:val="left"/>
              <w:rPr>
                <w:rFonts w:ascii="宋体" w:hAnsi="宋体" w:cs="宋体"/>
                <w:b/>
                <w:bCs/>
                <w:color w:val="000000"/>
                <w:kern w:val="0"/>
                <w:sz w:val="28"/>
                <w:szCs w:val="28"/>
              </w:rPr>
            </w:pPr>
          </w:p>
        </w:tc>
      </w:tr>
      <w:tr>
        <w:tblPrEx>
          <w:tblCellMar>
            <w:top w:w="0" w:type="dxa"/>
            <w:left w:w="108" w:type="dxa"/>
            <w:bottom w:w="0" w:type="dxa"/>
            <w:right w:w="108" w:type="dxa"/>
          </w:tblCellMar>
        </w:tblPrEx>
        <w:trPr>
          <w:trHeight w:val="882" w:hRule="atLeast"/>
        </w:trPr>
        <w:tc>
          <w:tcPr>
            <w:tcW w:w="11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520" w:lineRule="exact"/>
              <w:jc w:val="center"/>
              <w:rPr>
                <w:rFonts w:ascii="宋体" w:hAnsi="宋体" w:cs="宋体"/>
                <w:b/>
                <w:bCs/>
                <w:color w:val="000000"/>
                <w:kern w:val="0"/>
                <w:sz w:val="24"/>
              </w:rPr>
            </w:pPr>
            <w:r>
              <w:rPr>
                <w:rFonts w:hint="eastAsia" w:ascii="宋体" w:hAnsi="宋体" w:cs="宋体"/>
                <w:b/>
                <w:bCs/>
                <w:color w:val="000000"/>
                <w:kern w:val="0"/>
                <w:sz w:val="24"/>
              </w:rPr>
              <w:t>省（市、区）名称</w:t>
            </w:r>
          </w:p>
        </w:tc>
        <w:tc>
          <w:tcPr>
            <w:tcW w:w="244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520" w:lineRule="exact"/>
              <w:jc w:val="center"/>
              <w:rPr>
                <w:rFonts w:ascii="宋体" w:hAnsi="宋体" w:cs="宋体"/>
                <w:b/>
                <w:bCs/>
                <w:color w:val="000000"/>
                <w:kern w:val="0"/>
                <w:sz w:val="24"/>
              </w:rPr>
            </w:pPr>
            <w:r>
              <w:rPr>
                <w:rFonts w:hint="eastAsia" w:ascii="宋体" w:hAnsi="宋体" w:cs="宋体"/>
                <w:b/>
                <w:bCs/>
                <w:color w:val="000000"/>
                <w:kern w:val="0"/>
                <w:sz w:val="24"/>
              </w:rPr>
              <w:t>地市名称</w:t>
            </w:r>
          </w:p>
        </w:tc>
        <w:tc>
          <w:tcPr>
            <w:tcW w:w="22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520" w:lineRule="exact"/>
              <w:jc w:val="center"/>
              <w:rPr>
                <w:rFonts w:ascii="宋体" w:hAnsi="宋体" w:cs="宋体"/>
                <w:b/>
                <w:bCs/>
                <w:color w:val="000000"/>
                <w:kern w:val="0"/>
                <w:sz w:val="24"/>
              </w:rPr>
            </w:pPr>
            <w:r>
              <w:rPr>
                <w:rFonts w:hint="eastAsia" w:ascii="宋体" w:hAnsi="宋体" w:cs="宋体"/>
                <w:b/>
                <w:bCs/>
                <w:color w:val="000000"/>
                <w:kern w:val="0"/>
                <w:sz w:val="24"/>
              </w:rPr>
              <w:t>县（区）名称</w:t>
            </w:r>
          </w:p>
        </w:tc>
        <w:tc>
          <w:tcPr>
            <w:tcW w:w="32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520" w:lineRule="exact"/>
              <w:jc w:val="center"/>
              <w:rPr>
                <w:rFonts w:ascii="宋体" w:hAnsi="宋体" w:cs="宋体"/>
                <w:b/>
                <w:bCs/>
                <w:color w:val="000000"/>
                <w:kern w:val="0"/>
                <w:sz w:val="24"/>
              </w:rPr>
            </w:pPr>
            <w:r>
              <w:rPr>
                <w:rFonts w:hint="eastAsia" w:ascii="宋体" w:hAnsi="宋体" w:cs="宋体"/>
                <w:b/>
                <w:bCs/>
                <w:color w:val="000000"/>
                <w:kern w:val="0"/>
                <w:sz w:val="24"/>
              </w:rPr>
              <w:t>2020年免费医学生培养项目人才培养计划（人）</w:t>
            </w:r>
          </w:p>
        </w:tc>
      </w:tr>
      <w:tr>
        <w:tblPrEx>
          <w:tblCellMar>
            <w:top w:w="0" w:type="dxa"/>
            <w:left w:w="108" w:type="dxa"/>
            <w:bottom w:w="0" w:type="dxa"/>
            <w:right w:w="108" w:type="dxa"/>
          </w:tblCellMar>
        </w:tblPrEx>
        <w:trPr>
          <w:trHeight w:val="522"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b/>
                <w:bCs/>
                <w:color w:val="000000"/>
                <w:kern w:val="0"/>
                <w:sz w:val="24"/>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b/>
                <w:bCs/>
                <w:color w:val="000000"/>
                <w:kern w:val="0"/>
                <w:sz w:val="24"/>
              </w:rPr>
            </w:pPr>
          </w:p>
        </w:tc>
        <w:tc>
          <w:tcPr>
            <w:tcW w:w="2204"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b/>
                <w:bCs/>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520" w:lineRule="exact"/>
              <w:jc w:val="center"/>
              <w:rPr>
                <w:rFonts w:ascii="宋体" w:hAnsi="宋体" w:cs="宋体"/>
                <w:color w:val="000000"/>
                <w:kern w:val="0"/>
                <w:sz w:val="24"/>
              </w:rPr>
            </w:pPr>
            <w:r>
              <w:rPr>
                <w:rFonts w:hint="eastAsia" w:ascii="宋体" w:hAnsi="宋体" w:cs="宋体"/>
                <w:color w:val="000000"/>
                <w:kern w:val="0"/>
                <w:sz w:val="24"/>
              </w:rPr>
              <w:t>临床医学</w:t>
            </w:r>
          </w:p>
        </w:tc>
        <w:tc>
          <w:tcPr>
            <w:tcW w:w="850" w:type="dxa"/>
            <w:tcBorders>
              <w:top w:val="nil"/>
              <w:left w:val="nil"/>
              <w:bottom w:val="single" w:color="auto" w:sz="4" w:space="0"/>
              <w:right w:val="single" w:color="auto" w:sz="4" w:space="0"/>
            </w:tcBorders>
            <w:shd w:val="clear" w:color="auto" w:fill="auto"/>
            <w:vAlign w:val="center"/>
          </w:tcPr>
          <w:p>
            <w:pPr>
              <w:widowControl/>
              <w:spacing w:line="520" w:lineRule="exact"/>
              <w:jc w:val="center"/>
              <w:rPr>
                <w:rFonts w:ascii="宋体" w:hAnsi="宋体" w:cs="宋体"/>
                <w:color w:val="000000"/>
                <w:kern w:val="0"/>
                <w:sz w:val="24"/>
              </w:rPr>
            </w:pPr>
            <w:r>
              <w:rPr>
                <w:rFonts w:hint="eastAsia" w:ascii="宋体" w:hAnsi="宋体" w:cs="宋体"/>
                <w:color w:val="000000"/>
                <w:kern w:val="0"/>
                <w:sz w:val="24"/>
              </w:rPr>
              <w:t>中医</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合计</w:t>
            </w:r>
          </w:p>
        </w:tc>
      </w:tr>
      <w:tr>
        <w:tblPrEx>
          <w:tblCellMar>
            <w:top w:w="0" w:type="dxa"/>
            <w:left w:w="108" w:type="dxa"/>
            <w:bottom w:w="0" w:type="dxa"/>
            <w:right w:w="108" w:type="dxa"/>
          </w:tblCellMar>
        </w:tblPrEx>
        <w:trPr>
          <w:trHeight w:val="288" w:hRule="atLeast"/>
        </w:trPr>
        <w:tc>
          <w:tcPr>
            <w:tcW w:w="11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520" w:lineRule="exact"/>
              <w:jc w:val="center"/>
              <w:rPr>
                <w:rFonts w:ascii="宋体" w:hAnsi="宋体" w:cs="宋体"/>
                <w:kern w:val="0"/>
                <w:szCs w:val="21"/>
              </w:rPr>
            </w:pPr>
            <w:r>
              <w:rPr>
                <w:rFonts w:hint="eastAsia" w:ascii="宋体" w:hAnsi="宋体" w:cs="宋体"/>
                <w:kern w:val="0"/>
                <w:szCs w:val="21"/>
              </w:rPr>
              <w:t>新疆兵团</w:t>
            </w: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第一师（阿拉尔市）</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一师十一团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一师十六团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第二师（铁门关市）</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二师三十团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二师三十一团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二师三十四团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二师二二三团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第三师（图木舒克市）</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三师四十一团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三师四十四团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三师伽师总场</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第四师（可克达拉市）</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四师六十一团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四师六十二团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四师六十四团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四师六十六团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四师六十七团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四师七十二团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四师七十四团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四师七十五团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第五师</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五师八十七团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五师八十八团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五师九十一团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第六师（五家渠市）</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六师一零二团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六师六运湖农场</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六师一零六团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六师红旗农场</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第七师</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七师一二三团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七师一三零团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第八师（石河子市）</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八师一四二团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八师一四七团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八师一四九团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八师石河子总场</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第九师</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九师一六四团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九师一六五团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第十师（北屯市）</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十师一八二团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十师一八五团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color w:val="000000"/>
                <w:kern w:val="0"/>
                <w:sz w:val="22"/>
                <w:szCs w:val="22"/>
              </w:rPr>
            </w:pP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十师一八六团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第十一师</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十一师（无团场）</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第十二师</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十二师三坪农场</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第十三师</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十三师黄田农场</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244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第十四师</w:t>
            </w:r>
          </w:p>
        </w:tc>
        <w:tc>
          <w:tcPr>
            <w:tcW w:w="2204"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十四师二二四团</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4</w:t>
            </w:r>
          </w:p>
        </w:tc>
      </w:tr>
      <w:tr>
        <w:tblPrEx>
          <w:tblCellMar>
            <w:top w:w="0" w:type="dxa"/>
            <w:left w:w="108" w:type="dxa"/>
            <w:bottom w:w="0" w:type="dxa"/>
            <w:right w:w="108" w:type="dxa"/>
          </w:tblCellMar>
        </w:tblPrEx>
        <w:trPr>
          <w:trHeight w:val="288" w:hRule="atLeast"/>
        </w:trPr>
        <w:tc>
          <w:tcPr>
            <w:tcW w:w="1180" w:type="dxa"/>
            <w:vMerge w:val="continue"/>
            <w:tcBorders>
              <w:top w:val="nil"/>
              <w:left w:val="single" w:color="auto" w:sz="4" w:space="0"/>
              <w:bottom w:val="single" w:color="auto" w:sz="4" w:space="0"/>
              <w:right w:val="single" w:color="auto" w:sz="4" w:space="0"/>
            </w:tcBorders>
            <w:vAlign w:val="center"/>
          </w:tcPr>
          <w:p>
            <w:pPr>
              <w:widowControl/>
              <w:spacing w:line="520" w:lineRule="exact"/>
              <w:jc w:val="center"/>
              <w:rPr>
                <w:rFonts w:ascii="宋体" w:hAnsi="宋体" w:cs="宋体"/>
                <w:kern w:val="0"/>
                <w:szCs w:val="21"/>
              </w:rPr>
            </w:pPr>
          </w:p>
        </w:tc>
        <w:tc>
          <w:tcPr>
            <w:tcW w:w="464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小计</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50</w:t>
            </w:r>
          </w:p>
        </w:tc>
        <w:tc>
          <w:tcPr>
            <w:tcW w:w="850"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p>
        </w:tc>
        <w:tc>
          <w:tcPr>
            <w:tcW w:w="992" w:type="dxa"/>
            <w:tcBorders>
              <w:top w:val="nil"/>
              <w:left w:val="nil"/>
              <w:bottom w:val="single" w:color="auto" w:sz="4" w:space="0"/>
              <w:right w:val="single" w:color="auto" w:sz="4" w:space="0"/>
            </w:tcBorders>
            <w:shd w:val="clear" w:color="auto" w:fill="auto"/>
            <w:noWrap/>
            <w:vAlign w:val="center"/>
          </w:tcPr>
          <w:p>
            <w:pPr>
              <w:widowControl/>
              <w:spacing w:line="520" w:lineRule="exact"/>
              <w:jc w:val="center"/>
              <w:rPr>
                <w:rFonts w:ascii="宋体" w:hAnsi="宋体" w:cs="宋体"/>
                <w:color w:val="000000"/>
                <w:kern w:val="0"/>
                <w:sz w:val="22"/>
                <w:szCs w:val="22"/>
              </w:rPr>
            </w:pPr>
            <w:r>
              <w:rPr>
                <w:rFonts w:hint="eastAsia" w:ascii="宋体" w:hAnsi="宋体" w:cs="宋体"/>
                <w:color w:val="000000"/>
                <w:kern w:val="0"/>
                <w:sz w:val="22"/>
                <w:szCs w:val="22"/>
              </w:rPr>
              <w:t>50</w:t>
            </w:r>
          </w:p>
        </w:tc>
      </w:tr>
    </w:tbl>
    <w:p>
      <w:pPr>
        <w:widowControl/>
        <w:tabs>
          <w:tab w:val="left" w:pos="7200"/>
        </w:tabs>
        <w:spacing w:line="600" w:lineRule="exact"/>
        <w:rPr>
          <w:rFonts w:ascii="黑体" w:eastAsia="黑体"/>
          <w:sz w:val="32"/>
          <w:szCs w:val="32"/>
        </w:rPr>
      </w:pPr>
    </w:p>
    <w:p>
      <w:pPr>
        <w:widowControl/>
        <w:tabs>
          <w:tab w:val="left" w:pos="7200"/>
        </w:tabs>
        <w:spacing w:line="600" w:lineRule="exact"/>
        <w:rPr>
          <w:rFonts w:ascii="黑体" w:hAnsi="宋体" w:eastAsia="黑体" w:cs="宋体"/>
          <w:bCs/>
          <w:color w:val="000000"/>
          <w:sz w:val="32"/>
          <w:szCs w:val="32"/>
        </w:rPr>
      </w:pPr>
      <w:r>
        <w:rPr>
          <w:rFonts w:hint="eastAsia" w:ascii="黑体" w:eastAsia="黑体"/>
          <w:sz w:val="32"/>
          <w:szCs w:val="32"/>
        </w:rPr>
        <w:t>附件2</w:t>
      </w:r>
    </w:p>
    <w:p>
      <w:pPr>
        <w:widowControl/>
        <w:tabs>
          <w:tab w:val="left" w:pos="7200"/>
        </w:tabs>
        <w:spacing w:line="700" w:lineRule="exact"/>
        <w:jc w:val="center"/>
        <w:rPr>
          <w:rFonts w:ascii="宋体" w:hAnsi="宋体" w:cs="宋体"/>
          <w:b/>
          <w:bCs/>
          <w:color w:val="000000"/>
          <w:sz w:val="48"/>
          <w:szCs w:val="48"/>
        </w:rPr>
      </w:pPr>
    </w:p>
    <w:p>
      <w:pPr>
        <w:widowControl/>
        <w:tabs>
          <w:tab w:val="left" w:pos="7200"/>
        </w:tabs>
        <w:spacing w:line="700" w:lineRule="exact"/>
        <w:jc w:val="center"/>
        <w:rPr>
          <w:rFonts w:ascii="宋体" w:hAnsi="宋体" w:cs="宋体"/>
          <w:b/>
          <w:bCs/>
          <w:color w:val="000000"/>
          <w:sz w:val="48"/>
          <w:szCs w:val="48"/>
        </w:rPr>
      </w:pPr>
      <w:r>
        <w:rPr>
          <w:rFonts w:hint="eastAsia" w:ascii="宋体" w:hAnsi="宋体" w:cs="宋体"/>
          <w:b/>
          <w:bCs/>
          <w:color w:val="000000"/>
          <w:sz w:val="48"/>
          <w:szCs w:val="48"/>
        </w:rPr>
        <w:t>新疆生产建设兵团</w:t>
      </w:r>
    </w:p>
    <w:p>
      <w:pPr>
        <w:spacing w:line="700" w:lineRule="exact"/>
        <w:jc w:val="center"/>
        <w:rPr>
          <w:rFonts w:ascii="宋体" w:hAnsi="宋体" w:cs="宋体"/>
          <w:b/>
          <w:bCs/>
          <w:color w:val="000000"/>
          <w:sz w:val="48"/>
          <w:szCs w:val="48"/>
        </w:rPr>
      </w:pPr>
      <w:r>
        <w:rPr>
          <w:rFonts w:hint="eastAsia" w:ascii="宋体" w:hAnsi="宋体" w:cs="宋体"/>
          <w:b/>
          <w:bCs/>
          <w:color w:val="000000"/>
          <w:sz w:val="48"/>
          <w:szCs w:val="48"/>
        </w:rPr>
        <w:t>团场</w:t>
      </w:r>
      <w:r>
        <w:rPr>
          <w:rFonts w:ascii="宋体" w:hAnsi="宋体" w:cs="宋体"/>
          <w:b/>
          <w:bCs/>
          <w:color w:val="000000"/>
          <w:sz w:val="48"/>
          <w:szCs w:val="48"/>
        </w:rPr>
        <w:t>订单定向免费培养医学人才</w:t>
      </w:r>
    </w:p>
    <w:p>
      <w:pPr>
        <w:widowControl/>
        <w:tabs>
          <w:tab w:val="left" w:pos="7200"/>
        </w:tabs>
        <w:adjustRightInd w:val="0"/>
        <w:snapToGrid w:val="0"/>
        <w:spacing w:line="860" w:lineRule="exact"/>
        <w:jc w:val="center"/>
        <w:rPr>
          <w:rFonts w:ascii="宋体" w:hAnsi="宋体" w:cs="宋体"/>
          <w:b/>
          <w:bCs/>
          <w:color w:val="000000"/>
          <w:sz w:val="52"/>
          <w:szCs w:val="52"/>
        </w:rPr>
      </w:pPr>
    </w:p>
    <w:p>
      <w:pPr>
        <w:widowControl/>
        <w:tabs>
          <w:tab w:val="left" w:pos="7200"/>
        </w:tabs>
        <w:adjustRightInd w:val="0"/>
        <w:snapToGrid w:val="0"/>
        <w:spacing w:line="860" w:lineRule="exact"/>
        <w:jc w:val="center"/>
        <w:rPr>
          <w:rFonts w:ascii="宋体" w:hAnsi="宋体" w:cs="宋体"/>
          <w:b/>
          <w:bCs/>
          <w:color w:val="000000"/>
          <w:sz w:val="84"/>
          <w:szCs w:val="84"/>
        </w:rPr>
      </w:pPr>
      <w:r>
        <w:rPr>
          <w:rFonts w:hint="eastAsia" w:ascii="宋体" w:hAnsi="宋体" w:cs="宋体"/>
          <w:b/>
          <w:bCs/>
          <w:color w:val="000000"/>
          <w:sz w:val="84"/>
          <w:szCs w:val="84"/>
        </w:rPr>
        <w:t>定向就业协议书</w:t>
      </w:r>
    </w:p>
    <w:p>
      <w:pPr>
        <w:widowControl/>
        <w:spacing w:line="700" w:lineRule="exact"/>
        <w:rPr>
          <w:rFonts w:ascii="仿宋_GB2312" w:hAnsi="ˎ̥" w:eastAsia="仿宋_GB2312" w:cs="宋体"/>
          <w:color w:val="000000"/>
          <w:sz w:val="30"/>
          <w:szCs w:val="30"/>
        </w:rPr>
      </w:pPr>
    </w:p>
    <w:p>
      <w:pPr>
        <w:widowControl/>
        <w:spacing w:line="700" w:lineRule="exact"/>
        <w:rPr>
          <w:rFonts w:ascii="仿宋_GB2312" w:hAnsi="ˎ̥" w:eastAsia="仿宋_GB2312" w:cs="宋体"/>
          <w:color w:val="000000"/>
          <w:sz w:val="30"/>
          <w:szCs w:val="30"/>
        </w:rPr>
      </w:pPr>
    </w:p>
    <w:p>
      <w:pPr>
        <w:widowControl/>
        <w:spacing w:line="700" w:lineRule="exact"/>
        <w:rPr>
          <w:rFonts w:ascii="仿宋_GB2312" w:hAnsi="ˎ̥" w:eastAsia="仿宋_GB2312" w:cs="宋体"/>
          <w:color w:val="000000"/>
          <w:sz w:val="30"/>
          <w:szCs w:val="30"/>
        </w:rPr>
      </w:pPr>
    </w:p>
    <w:p>
      <w:pPr>
        <w:widowControl/>
        <w:spacing w:line="700" w:lineRule="exact"/>
        <w:rPr>
          <w:rFonts w:ascii="仿宋_GB2312" w:hAnsi="ˎ̥" w:eastAsia="仿宋_GB2312" w:cs="宋体"/>
          <w:color w:val="000000"/>
          <w:sz w:val="30"/>
          <w:szCs w:val="30"/>
        </w:rPr>
      </w:pPr>
    </w:p>
    <w:p>
      <w:pPr>
        <w:widowControl/>
        <w:spacing w:line="700" w:lineRule="exact"/>
        <w:rPr>
          <w:rFonts w:ascii="仿宋_GB2312" w:hAnsi="ˎ̥" w:eastAsia="仿宋_GB2312" w:cs="宋体"/>
          <w:color w:val="000000"/>
          <w:sz w:val="30"/>
          <w:szCs w:val="30"/>
        </w:rPr>
      </w:pPr>
    </w:p>
    <w:p>
      <w:pPr>
        <w:widowControl/>
        <w:spacing w:line="700" w:lineRule="exact"/>
        <w:rPr>
          <w:rFonts w:ascii="仿宋_GB2312" w:hAnsi="ˎ̥" w:eastAsia="仿宋_GB2312" w:cs="宋体"/>
          <w:color w:val="000000"/>
          <w:sz w:val="30"/>
          <w:szCs w:val="30"/>
        </w:rPr>
      </w:pPr>
    </w:p>
    <w:p>
      <w:pPr>
        <w:widowControl/>
        <w:spacing w:line="700" w:lineRule="exact"/>
        <w:rPr>
          <w:rFonts w:ascii="仿宋_GB2312" w:hAnsi="ˎ̥" w:eastAsia="仿宋_GB2312" w:cs="宋体"/>
          <w:color w:val="000000"/>
          <w:sz w:val="30"/>
          <w:szCs w:val="30"/>
        </w:rPr>
      </w:pPr>
    </w:p>
    <w:tbl>
      <w:tblPr>
        <w:tblStyle w:val="8"/>
        <w:tblW w:w="0" w:type="auto"/>
        <w:tblInd w:w="540" w:type="dxa"/>
        <w:tblLayout w:type="fixed"/>
        <w:tblCellMar>
          <w:top w:w="0" w:type="dxa"/>
          <w:left w:w="108" w:type="dxa"/>
          <w:bottom w:w="0" w:type="dxa"/>
          <w:right w:w="108" w:type="dxa"/>
        </w:tblCellMar>
      </w:tblPr>
      <w:tblGrid>
        <w:gridCol w:w="7702"/>
        <w:gridCol w:w="1118"/>
      </w:tblGrid>
      <w:tr>
        <w:tblPrEx>
          <w:tblCellMar>
            <w:top w:w="0" w:type="dxa"/>
            <w:left w:w="108" w:type="dxa"/>
            <w:bottom w:w="0" w:type="dxa"/>
            <w:right w:w="108" w:type="dxa"/>
          </w:tblCellMar>
        </w:tblPrEx>
        <w:trPr>
          <w:cantSplit/>
          <w:trHeight w:val="567" w:hRule="atLeast"/>
        </w:trPr>
        <w:tc>
          <w:tcPr>
            <w:tcW w:w="7702" w:type="dxa"/>
            <w:vAlign w:val="center"/>
          </w:tcPr>
          <w:p>
            <w:pPr>
              <w:spacing w:line="700" w:lineRule="exact"/>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新疆生产建设兵团卫生健康委</w:t>
            </w:r>
          </w:p>
        </w:tc>
        <w:tc>
          <w:tcPr>
            <w:tcW w:w="1118" w:type="dxa"/>
            <w:vMerge w:val="restart"/>
            <w:vAlign w:val="center"/>
          </w:tcPr>
          <w:p>
            <w:pPr>
              <w:spacing w:line="700" w:lineRule="exact"/>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制</w:t>
            </w:r>
          </w:p>
        </w:tc>
      </w:tr>
      <w:tr>
        <w:tblPrEx>
          <w:tblCellMar>
            <w:top w:w="0" w:type="dxa"/>
            <w:left w:w="108" w:type="dxa"/>
            <w:bottom w:w="0" w:type="dxa"/>
            <w:right w:w="108" w:type="dxa"/>
          </w:tblCellMar>
        </w:tblPrEx>
        <w:trPr>
          <w:cantSplit/>
          <w:trHeight w:val="567" w:hRule="atLeast"/>
        </w:trPr>
        <w:tc>
          <w:tcPr>
            <w:tcW w:w="7702" w:type="dxa"/>
            <w:vAlign w:val="center"/>
          </w:tcPr>
          <w:p>
            <w:pPr>
              <w:spacing w:line="700" w:lineRule="exact"/>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新疆生产建设兵团人力资源和社会保障局</w:t>
            </w:r>
          </w:p>
        </w:tc>
        <w:tc>
          <w:tcPr>
            <w:tcW w:w="1118" w:type="dxa"/>
            <w:vMerge w:val="continue"/>
            <w:vAlign w:val="center"/>
          </w:tcPr>
          <w:p>
            <w:pPr>
              <w:spacing w:line="700" w:lineRule="exact"/>
              <w:rPr>
                <w:rFonts w:ascii="仿宋_GB2312" w:hAnsi="ˎ̥" w:eastAsia="仿宋_GB2312" w:cs="宋体"/>
                <w:b/>
                <w:bCs/>
                <w:color w:val="000000"/>
                <w:sz w:val="32"/>
                <w:szCs w:val="32"/>
              </w:rPr>
            </w:pPr>
          </w:p>
        </w:tc>
      </w:tr>
      <w:tr>
        <w:tblPrEx>
          <w:tblCellMar>
            <w:top w:w="0" w:type="dxa"/>
            <w:left w:w="108" w:type="dxa"/>
            <w:bottom w:w="0" w:type="dxa"/>
            <w:right w:w="108" w:type="dxa"/>
          </w:tblCellMar>
        </w:tblPrEx>
        <w:trPr>
          <w:cantSplit/>
          <w:trHeight w:val="567" w:hRule="atLeast"/>
        </w:trPr>
        <w:tc>
          <w:tcPr>
            <w:tcW w:w="7702" w:type="dxa"/>
            <w:vAlign w:val="center"/>
          </w:tcPr>
          <w:p>
            <w:pPr>
              <w:spacing w:line="700" w:lineRule="exact"/>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新疆生产建设兵团教育局</w:t>
            </w:r>
          </w:p>
        </w:tc>
        <w:tc>
          <w:tcPr>
            <w:tcW w:w="1118" w:type="dxa"/>
            <w:vMerge w:val="continue"/>
            <w:vAlign w:val="center"/>
          </w:tcPr>
          <w:p>
            <w:pPr>
              <w:spacing w:line="700" w:lineRule="exact"/>
              <w:rPr>
                <w:rFonts w:ascii="仿宋_GB2312" w:hAnsi="ˎ̥" w:eastAsia="仿宋_GB2312" w:cs="宋体"/>
                <w:b/>
                <w:bCs/>
                <w:color w:val="000000"/>
                <w:sz w:val="32"/>
                <w:szCs w:val="32"/>
              </w:rPr>
            </w:pPr>
          </w:p>
        </w:tc>
      </w:tr>
    </w:tbl>
    <w:p>
      <w:pPr>
        <w:widowControl/>
        <w:spacing w:line="700" w:lineRule="exact"/>
        <w:jc w:val="center"/>
        <w:rPr>
          <w:rFonts w:ascii="仿宋_GB2312" w:hAnsi="ˎ̥" w:eastAsia="仿宋_GB2312" w:cs="宋体"/>
          <w:b/>
          <w:bCs/>
          <w:color w:val="000000"/>
          <w:sz w:val="32"/>
          <w:szCs w:val="32"/>
        </w:rPr>
      </w:pPr>
    </w:p>
    <w:p>
      <w:pPr>
        <w:pStyle w:val="2"/>
        <w:spacing w:line="520" w:lineRule="exact"/>
        <w:jc w:val="center"/>
        <w:rPr>
          <w:snapToGrid w:val="0"/>
          <w:spacing w:val="4"/>
        </w:rPr>
      </w:pPr>
      <w:r>
        <w:rPr>
          <w:rFonts w:hint="eastAsia" w:hAnsi="ˎ̥" w:cs="宋体"/>
          <w:b/>
          <w:bCs/>
          <w:color w:val="000000"/>
          <w:sz w:val="36"/>
          <w:szCs w:val="36"/>
        </w:rPr>
        <w:t>2020年7月</w:t>
      </w:r>
    </w:p>
    <w:p>
      <w:pPr>
        <w:pStyle w:val="2"/>
        <w:spacing w:line="520" w:lineRule="exact"/>
        <w:rPr>
          <w:snapToGrid w:val="0"/>
          <w:spacing w:val="4"/>
        </w:rPr>
      </w:pPr>
    </w:p>
    <w:p>
      <w:pPr>
        <w:widowControl/>
        <w:spacing w:line="500" w:lineRule="exact"/>
        <w:ind w:firstLine="643" w:firstLineChars="200"/>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甲方：</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新疆生产建设兵团师</w:t>
      </w:r>
      <w:r>
        <w:rPr>
          <w:rFonts w:hint="eastAsia" w:ascii="仿宋_GB2312" w:eastAsia="仿宋_GB2312"/>
          <w:sz w:val="32"/>
          <w:szCs w:val="32"/>
        </w:rPr>
        <w:t>（市）</w:t>
      </w:r>
      <w:r>
        <w:rPr>
          <w:rFonts w:hint="eastAsia" w:ascii="仿宋_GB2312" w:hAnsi="ˎ̥" w:eastAsia="仿宋_GB2312" w:cs="宋体"/>
          <w:color w:val="000000"/>
          <w:sz w:val="32"/>
          <w:szCs w:val="32"/>
        </w:rPr>
        <w:t>卫生健康行政部门</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联系人负责人</w:t>
      </w:r>
    </w:p>
    <w:p>
      <w:pPr>
        <w:widowControl/>
        <w:spacing w:line="500" w:lineRule="exact"/>
        <w:ind w:firstLine="640" w:firstLineChars="200"/>
        <w:rPr>
          <w:rFonts w:ascii="仿宋_GB2312" w:hAnsi="ˎ̥" w:eastAsia="仿宋_GB2312" w:cs="宋体"/>
          <w:color w:val="000000"/>
          <w:sz w:val="32"/>
          <w:szCs w:val="32"/>
          <w:u w:val="single"/>
        </w:rPr>
      </w:pPr>
      <w:r>
        <w:rPr>
          <w:rFonts w:hint="eastAsia" w:ascii="仿宋_GB2312" w:hAnsi="ˎ̥" w:eastAsia="仿宋_GB2312" w:cs="宋体"/>
          <w:color w:val="000000"/>
          <w:sz w:val="32"/>
          <w:szCs w:val="32"/>
        </w:rPr>
        <w:t>单位地址：</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新疆生产建设兵团师</w:t>
      </w:r>
      <w:r>
        <w:rPr>
          <w:rFonts w:hint="eastAsia" w:ascii="仿宋_GB2312" w:eastAsia="仿宋_GB2312"/>
          <w:sz w:val="32"/>
          <w:szCs w:val="32"/>
        </w:rPr>
        <w:t>（市）</w:t>
      </w:r>
      <w:r>
        <w:rPr>
          <w:rFonts w:hint="eastAsia" w:ascii="仿宋_GB2312" w:hAnsi="ˎ̥" w:eastAsia="仿宋_GB2312" w:cs="宋体"/>
          <w:color w:val="000000"/>
          <w:sz w:val="32"/>
          <w:szCs w:val="32"/>
        </w:rPr>
        <w:t>人事局（</w:t>
      </w:r>
      <w:r>
        <w:rPr>
          <w:rFonts w:hint="eastAsia" w:ascii="仿宋_GB2312" w:eastAsia="仿宋_GB2312"/>
          <w:sz w:val="32"/>
          <w:szCs w:val="32"/>
        </w:rPr>
        <w:t>人力资源和社会保障局）</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联系人负责人</w:t>
      </w:r>
    </w:p>
    <w:p>
      <w:pPr>
        <w:widowControl/>
        <w:spacing w:line="500" w:lineRule="exact"/>
        <w:ind w:firstLine="640" w:firstLineChars="200"/>
        <w:rPr>
          <w:rFonts w:ascii="仿宋_GB2312" w:hAnsi="ˎ̥" w:eastAsia="仿宋_GB2312" w:cs="宋体"/>
          <w:color w:val="000000"/>
          <w:sz w:val="32"/>
          <w:szCs w:val="32"/>
          <w:u w:val="single"/>
        </w:rPr>
      </w:pPr>
      <w:r>
        <w:rPr>
          <w:rFonts w:hint="eastAsia" w:ascii="仿宋_GB2312" w:hAnsi="ˎ̥" w:eastAsia="仿宋_GB2312" w:cs="宋体"/>
          <w:color w:val="000000"/>
          <w:sz w:val="32"/>
          <w:szCs w:val="32"/>
        </w:rPr>
        <w:t>单位地址：</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新疆生产建设兵团师</w:t>
      </w:r>
      <w:r>
        <w:rPr>
          <w:rFonts w:hint="eastAsia" w:ascii="仿宋_GB2312" w:eastAsia="仿宋_GB2312"/>
          <w:sz w:val="32"/>
          <w:szCs w:val="32"/>
        </w:rPr>
        <w:t>（市）</w:t>
      </w:r>
      <w:r>
        <w:rPr>
          <w:rFonts w:hint="eastAsia" w:ascii="仿宋_GB2312" w:hAnsi="ˎ̥" w:eastAsia="仿宋_GB2312" w:cs="宋体"/>
          <w:color w:val="000000"/>
          <w:sz w:val="32"/>
          <w:szCs w:val="32"/>
        </w:rPr>
        <w:t>教育局</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联系人负责人</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单位地址：</w:t>
      </w:r>
    </w:p>
    <w:p>
      <w:pPr>
        <w:widowControl/>
        <w:spacing w:line="500" w:lineRule="exact"/>
        <w:ind w:firstLine="643" w:firstLineChars="200"/>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乙方：</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考生姓名性别年龄民族</w:t>
      </w:r>
    </w:p>
    <w:p>
      <w:pPr>
        <w:widowControl/>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身份证号</w:t>
      </w:r>
      <w:r>
        <w:rPr>
          <w:rFonts w:hint="eastAsia" w:ascii="宋体" w:hAnsi="宋体" w:cs="宋体"/>
          <w:color w:val="000000"/>
          <w:sz w:val="32"/>
          <w:szCs w:val="32"/>
        </w:rPr>
        <w:t>□□□□□□□□□□□□□□□□□□</w:t>
      </w:r>
    </w:p>
    <w:p>
      <w:pPr>
        <w:widowControl/>
        <w:tabs>
          <w:tab w:val="left" w:pos="634"/>
          <w:tab w:val="left" w:pos="672"/>
        </w:tabs>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户籍所在地地（州）县（市、区）</w:t>
      </w:r>
    </w:p>
    <w:p>
      <w:pPr>
        <w:widowControl/>
        <w:tabs>
          <w:tab w:val="left" w:pos="634"/>
          <w:tab w:val="left" w:pos="672"/>
        </w:tabs>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乡（镇）村</w:t>
      </w:r>
    </w:p>
    <w:p>
      <w:pPr>
        <w:pStyle w:val="2"/>
        <w:spacing w:line="500" w:lineRule="exact"/>
        <w:ind w:firstLine="640" w:firstLineChars="200"/>
        <w:rPr>
          <w:rFonts w:hAnsi="ˎ̥" w:cs="宋体"/>
          <w:color w:val="000000"/>
          <w:spacing w:val="0"/>
          <w:szCs w:val="32"/>
          <w:u w:val="single"/>
        </w:rPr>
      </w:pPr>
      <w:r>
        <w:rPr>
          <w:rFonts w:hint="eastAsia" w:hAnsi="ˎ̥" w:cs="宋体"/>
          <w:color w:val="000000"/>
          <w:spacing w:val="0"/>
          <w:szCs w:val="32"/>
        </w:rPr>
        <w:t>家庭地址：</w:t>
      </w:r>
    </w:p>
    <w:p>
      <w:pPr>
        <w:pStyle w:val="2"/>
        <w:tabs>
          <w:tab w:val="left" w:pos="634"/>
        </w:tabs>
        <w:spacing w:line="500" w:lineRule="exact"/>
        <w:ind w:firstLine="640" w:firstLineChars="200"/>
        <w:rPr>
          <w:spacing w:val="0"/>
          <w:szCs w:val="32"/>
        </w:rPr>
      </w:pPr>
      <w:r>
        <w:rPr>
          <w:rFonts w:hint="eastAsia"/>
          <w:spacing w:val="0"/>
          <w:szCs w:val="32"/>
        </w:rPr>
        <w:t>经甲乙双方平等协商，自愿签订本协议，共同遵守本协议所列条款。</w:t>
      </w:r>
    </w:p>
    <w:p>
      <w:pPr>
        <w:pStyle w:val="2"/>
        <w:tabs>
          <w:tab w:val="left" w:pos="634"/>
        </w:tabs>
        <w:spacing w:line="500" w:lineRule="exact"/>
        <w:ind w:firstLine="640" w:firstLineChars="200"/>
        <w:rPr>
          <w:rFonts w:ascii="黑体" w:hAnsi="黑体" w:eastAsia="黑体" w:cs="黑体"/>
          <w:spacing w:val="0"/>
          <w:szCs w:val="32"/>
        </w:rPr>
      </w:pPr>
      <w:r>
        <w:rPr>
          <w:rFonts w:hint="eastAsia" w:ascii="黑体" w:hAnsi="黑体" w:eastAsia="黑体" w:cs="黑体"/>
          <w:spacing w:val="0"/>
          <w:szCs w:val="32"/>
        </w:rPr>
        <w:t>一、甲方的权利和义务</w:t>
      </w:r>
    </w:p>
    <w:p>
      <w:pPr>
        <w:pStyle w:val="2"/>
        <w:tabs>
          <w:tab w:val="left" w:pos="634"/>
          <w:tab w:val="left" w:pos="728"/>
        </w:tabs>
        <w:spacing w:line="500" w:lineRule="exact"/>
        <w:ind w:firstLine="643" w:firstLineChars="200"/>
        <w:rPr>
          <w:spacing w:val="0"/>
          <w:szCs w:val="32"/>
        </w:rPr>
      </w:pPr>
      <w:r>
        <w:rPr>
          <w:rFonts w:hint="eastAsia"/>
          <w:b/>
          <w:bCs/>
          <w:spacing w:val="0"/>
          <w:szCs w:val="32"/>
        </w:rPr>
        <w:t xml:space="preserve">第一条 </w:t>
      </w:r>
      <w:r>
        <w:rPr>
          <w:rFonts w:hint="eastAsia"/>
          <w:bCs/>
          <w:spacing w:val="0"/>
          <w:szCs w:val="32"/>
        </w:rPr>
        <w:t>甲方</w:t>
      </w:r>
      <w:r>
        <w:rPr>
          <w:rFonts w:hint="eastAsia"/>
          <w:spacing w:val="0"/>
          <w:szCs w:val="32"/>
        </w:rPr>
        <w:t>为乙方提供兵团举办的学制为五年、具有本科层次临床医学专业，并由兵团资助的学习机会。甲方负责乙方入学后有关管理工作。</w:t>
      </w:r>
    </w:p>
    <w:p>
      <w:pPr>
        <w:pStyle w:val="2"/>
        <w:tabs>
          <w:tab w:val="left" w:pos="634"/>
          <w:tab w:val="left" w:pos="728"/>
        </w:tabs>
        <w:spacing w:line="500" w:lineRule="exact"/>
        <w:ind w:firstLine="643" w:firstLineChars="200"/>
        <w:rPr>
          <w:rFonts w:hAnsi="ˎ̥" w:cs="宋体"/>
          <w:color w:val="000000"/>
          <w:spacing w:val="0"/>
          <w:szCs w:val="32"/>
        </w:rPr>
      </w:pPr>
      <w:r>
        <w:rPr>
          <w:rFonts w:hint="eastAsia" w:hAnsi="ˎ̥" w:cs="宋体"/>
          <w:b/>
          <w:bCs/>
          <w:color w:val="000000"/>
          <w:spacing w:val="0"/>
          <w:szCs w:val="32"/>
        </w:rPr>
        <w:t>第二条</w:t>
      </w:r>
      <w:r>
        <w:rPr>
          <w:rFonts w:hint="eastAsia" w:hAnsi="ˎ̥" w:cs="宋体"/>
          <w:color w:val="000000"/>
          <w:spacing w:val="0"/>
          <w:szCs w:val="32"/>
        </w:rPr>
        <w:t xml:space="preserve"> 在乙方完成学业、取得毕业证书，按照兵团卫生健康委要求，完成3年</w:t>
      </w:r>
      <w:r>
        <w:rPr>
          <w:rFonts w:hint="eastAsia"/>
          <w:spacing w:val="0"/>
          <w:szCs w:val="32"/>
        </w:rPr>
        <w:t>住院医师规范化培训（全科专业）（以下简称“住培”）</w:t>
      </w:r>
      <w:r>
        <w:rPr>
          <w:rFonts w:hint="eastAsia" w:hAnsi="ˎ̥" w:cs="宋体"/>
          <w:color w:val="000000"/>
          <w:spacing w:val="0"/>
          <w:szCs w:val="32"/>
        </w:rPr>
        <w:t>后，甲方按照有关规定安排其进入定向的团场卫生机构，为其提供相应的工作岗位，按规定办理相关手续。</w:t>
      </w:r>
    </w:p>
    <w:p>
      <w:pPr>
        <w:widowControl/>
        <w:adjustRightInd w:val="0"/>
        <w:snapToGrid w:val="0"/>
        <w:spacing w:line="500" w:lineRule="exact"/>
        <w:ind w:firstLine="643" w:firstLineChars="200"/>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 xml:space="preserve">第三条 </w:t>
      </w:r>
      <w:r>
        <w:rPr>
          <w:rFonts w:hint="eastAsia" w:ascii="仿宋_GB2312" w:hAnsi="ˎ̥" w:eastAsia="仿宋_GB2312" w:cs="宋体"/>
          <w:color w:val="000000"/>
          <w:sz w:val="32"/>
          <w:szCs w:val="32"/>
        </w:rPr>
        <w:t>乙方完成3年住培后到指定的团场卫生机构服务，在服务期内甲方不得单方面随意调离、解聘乙方。服务期满乙方拥有自愿留在原单位工作或自由择业的权利。</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 xml:space="preserve">第四条 </w:t>
      </w:r>
      <w:r>
        <w:rPr>
          <w:rFonts w:hint="eastAsia" w:ascii="仿宋_GB2312" w:hAnsi="宋体" w:eastAsia="仿宋_GB2312" w:cs="宋体"/>
          <w:color w:val="000000"/>
          <w:sz w:val="32"/>
          <w:szCs w:val="32"/>
        </w:rPr>
        <w:t>乙方在协议规定的工作期间，甲方可根据当地卫生人力资源分布和实际工作需要，在全师范围内的医疗卫生机构之间，调配乙方的工作岗位。</w:t>
      </w:r>
    </w:p>
    <w:p>
      <w:pPr>
        <w:widowControl/>
        <w:adjustRightInd w:val="0"/>
        <w:snapToGrid w:val="0"/>
        <w:spacing w:line="500" w:lineRule="exact"/>
        <w:ind w:firstLine="643" w:firstLineChars="200"/>
        <w:rPr>
          <w:rFonts w:ascii="仿宋_GB2312" w:hAnsi="宋体" w:eastAsia="仿宋_GB2312" w:cs="宋体"/>
          <w:b/>
          <w:bCs/>
          <w:color w:val="000000"/>
          <w:sz w:val="32"/>
          <w:szCs w:val="32"/>
        </w:rPr>
      </w:pPr>
      <w:r>
        <w:rPr>
          <w:rFonts w:hint="eastAsia" w:ascii="仿宋_GB2312" w:hAnsi="ˎ̥" w:eastAsia="仿宋_GB2312" w:cs="宋体"/>
          <w:b/>
          <w:bCs/>
          <w:color w:val="000000"/>
          <w:sz w:val="32"/>
          <w:szCs w:val="32"/>
        </w:rPr>
        <w:t xml:space="preserve">第五条 </w:t>
      </w:r>
      <w:r>
        <w:rPr>
          <w:rFonts w:hint="eastAsia" w:ascii="仿宋_GB2312" w:hAnsi="ˎ̥" w:eastAsia="仿宋_GB2312" w:cs="宋体"/>
          <w:color w:val="000000"/>
          <w:sz w:val="32"/>
          <w:szCs w:val="32"/>
        </w:rPr>
        <w:t xml:space="preserve">乙方在校期间、住培期间或毕业后工作期间，出现以下情形之一，甲方可以单方面解除本协议： </w:t>
      </w:r>
    </w:p>
    <w:p>
      <w:pPr>
        <w:widowControl/>
        <w:adjustRightInd w:val="0"/>
        <w:snapToGrid w:val="0"/>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 xml:space="preserve">（一）乙方在正式录取并入学后，经学校体格检查，达不到国家颁布的健康标准相关规定的； </w:t>
      </w:r>
    </w:p>
    <w:p>
      <w:pPr>
        <w:widowControl/>
        <w:adjustRightInd w:val="0"/>
        <w:snapToGrid w:val="0"/>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（二）乙方在校学习期间，违反《</w:t>
      </w:r>
      <w:r>
        <w:rPr>
          <w:rFonts w:ascii="仿宋_GB2312" w:hAnsi="ˎ̥" w:eastAsia="仿宋_GB2312" w:cs="宋体"/>
          <w:color w:val="000000"/>
          <w:sz w:val="32"/>
          <w:szCs w:val="32"/>
        </w:rPr>
        <w:t>普通高校学生管理规定</w:t>
      </w:r>
      <w:r>
        <w:rPr>
          <w:rFonts w:hint="eastAsia" w:ascii="仿宋_GB2312" w:hAnsi="ˎ̥" w:eastAsia="仿宋_GB2312" w:cs="宋体"/>
          <w:color w:val="000000"/>
          <w:sz w:val="32"/>
          <w:szCs w:val="32"/>
        </w:rPr>
        <w:t>》和学校有关制度，造成恶劣影响或对学校利益造成重大损害，经卫生主管部门审核批准被学校开除的；</w:t>
      </w:r>
    </w:p>
    <w:p>
      <w:pPr>
        <w:widowControl/>
        <w:adjustRightInd w:val="0"/>
        <w:snapToGrid w:val="0"/>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（三）乙方在校期间不能按时完成学业，不能获得毕业证书的；</w:t>
      </w:r>
    </w:p>
    <w:p>
      <w:pPr>
        <w:widowControl/>
        <w:adjustRightInd w:val="0"/>
        <w:snapToGrid w:val="0"/>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（四）乙方在校学习或住培期间，违反国家法律法规，被司法机关拘留或被依法追究刑事责任的；</w:t>
      </w:r>
    </w:p>
    <w:p>
      <w:pPr>
        <w:widowControl/>
        <w:adjustRightInd w:val="0"/>
        <w:snapToGrid w:val="0"/>
        <w:spacing w:line="500" w:lineRule="exact"/>
        <w:ind w:firstLine="640" w:firstLineChars="200"/>
        <w:rPr>
          <w:rFonts w:ascii="仿宋_GB2312" w:hAnsi="ˎ̥" w:eastAsia="仿宋_GB2312" w:cs="宋体"/>
          <w:color w:val="000000"/>
          <w:sz w:val="32"/>
          <w:szCs w:val="32"/>
        </w:rPr>
      </w:pPr>
      <w:r>
        <w:rPr>
          <w:rFonts w:hint="eastAsia" w:ascii="仿宋_GB2312" w:hAnsi="ˎ̥" w:eastAsia="仿宋_GB2312" w:cs="宋体"/>
          <w:color w:val="000000"/>
          <w:sz w:val="32"/>
          <w:szCs w:val="32"/>
        </w:rPr>
        <w:t>（五）乙方参加工作后，在试用期期间，在工作中出现重大失误而导致严重后果的，或在转正后因个人原因难以胜任原技术工作，经过培训仍不能胜任工作的。</w:t>
      </w:r>
    </w:p>
    <w:p>
      <w:pPr>
        <w:widowControl/>
        <w:adjustRightInd w:val="0"/>
        <w:snapToGrid w:val="0"/>
        <w:spacing w:line="500" w:lineRule="exact"/>
        <w:ind w:firstLine="640" w:firstLineChars="200"/>
        <w:rPr>
          <w:rFonts w:ascii="黑体" w:hAnsi="黑体" w:eastAsia="黑体" w:cs="黑体"/>
          <w:sz w:val="32"/>
          <w:szCs w:val="32"/>
        </w:rPr>
      </w:pPr>
      <w:r>
        <w:rPr>
          <w:rFonts w:hint="eastAsia" w:ascii="黑体" w:hAnsi="黑体" w:eastAsia="黑体" w:cs="黑体"/>
          <w:sz w:val="32"/>
          <w:szCs w:val="32"/>
        </w:rPr>
        <w:t>二、乙方的权利和义务</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第六条</w:t>
      </w:r>
      <w:r>
        <w:rPr>
          <w:rFonts w:hint="eastAsia" w:ascii="仿宋_GB2312" w:hAnsi="ˎ̥" w:eastAsia="仿宋_GB2312" w:cs="宋体"/>
          <w:color w:val="000000"/>
          <w:sz w:val="32"/>
          <w:szCs w:val="32"/>
        </w:rPr>
        <w:t xml:space="preserve"> 乙方持入学通知书和本协议书，在规定时间到被录取院校报到。在校期间应遵守《普通高校学生管理规定》，不得申请调整学校和专业。掌握要求的临床医学理论和操作技能，按时完成学业，并按时交纳政府资助以外的相关费用。因各种原因，不能在学校规定的年限内完成学业的，可延长修业年限，但不得超过学校规定的最长修业年限，延读期间不享受政府资助的相关费用。</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第七条</w:t>
      </w:r>
      <w:r>
        <w:rPr>
          <w:rFonts w:hint="eastAsia" w:ascii="仿宋_GB2312" w:hAnsi="ˎ̥" w:eastAsia="仿宋_GB2312" w:cs="宋体"/>
          <w:color w:val="000000"/>
          <w:sz w:val="32"/>
          <w:szCs w:val="32"/>
        </w:rPr>
        <w:t xml:space="preserve"> 乙方在规定的学习期内，免缴学费和住宿费，并在国家助学金补助标准以内享受生活费资助。</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第八条</w:t>
      </w:r>
      <w:r>
        <w:rPr>
          <w:rFonts w:hint="eastAsia" w:ascii="仿宋_GB2312" w:hAnsi="ˎ̥" w:eastAsia="仿宋_GB2312" w:cs="宋体"/>
          <w:color w:val="000000"/>
          <w:sz w:val="32"/>
          <w:szCs w:val="32"/>
        </w:rPr>
        <w:t xml:space="preserve"> 乙方在校期间，享受国家普通高等教育本科生相关政策和待遇。毕业成绩合格者，可获得国家认可的普通高校临床医学本科学历和学士学位。享受国家普通本科教育教学服务，有权参加学校组织的各类文体活动和学术组织。</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第九条</w:t>
      </w:r>
      <w:r>
        <w:rPr>
          <w:rFonts w:hint="eastAsia" w:ascii="仿宋_GB2312" w:hAnsi="ˎ̥" w:eastAsia="仿宋_GB2312" w:cs="宋体"/>
          <w:color w:val="000000"/>
          <w:sz w:val="32"/>
          <w:szCs w:val="32"/>
        </w:rPr>
        <w:t xml:space="preserve"> 乙方毕业后，按照兵团卫生健康委分配安排，到指定的住培基地医院进行为期3年的住培（全科专业），享受住培期间的有关待遇。住培期间，允许乙方按照《中华人民共和国执业医师法》有关规定，参加国家医师资格考试，取得相应的执业资格。住培期间不得参加全日制硕士研究生统一招考。完成住培并取得《住院医师规范化培训合格证书》后，符合相应条件者，可向学位授予单位申请全科医学专业硕士研究生同等学力学位。</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 xml:space="preserve">第十条 </w:t>
      </w:r>
      <w:r>
        <w:rPr>
          <w:rFonts w:hint="eastAsia" w:ascii="仿宋_GB2312" w:hAnsi="ˎ̥" w:eastAsia="仿宋_GB2312" w:cs="宋体"/>
          <w:color w:val="000000"/>
          <w:sz w:val="32"/>
          <w:szCs w:val="32"/>
        </w:rPr>
        <w:t>乙方完成住培后，持毕业证书、本协议书和就业报到证，回签订协议书所在师市卫生健康行政部门报到，到定向的团场卫生机构工作，享受事业单位在册正式工作人员有关待遇。</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 xml:space="preserve">第十一条 </w:t>
      </w:r>
      <w:r>
        <w:rPr>
          <w:rFonts w:hint="eastAsia" w:ascii="仿宋_GB2312" w:hAnsi="ˎ̥" w:eastAsia="仿宋_GB2312" w:cs="宋体"/>
          <w:color w:val="000000"/>
          <w:sz w:val="32"/>
          <w:szCs w:val="32"/>
        </w:rPr>
        <w:t>乙方取得《住院医师规范化培训合格证书》的，到指定的团场卫生机构服务期限为3年；未取得合格证书的，服务期限为6年。</w:t>
      </w:r>
    </w:p>
    <w:p>
      <w:pPr>
        <w:widowControl/>
        <w:tabs>
          <w:tab w:val="left" w:pos="634"/>
          <w:tab w:val="left" w:pos="951"/>
        </w:tabs>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 xml:space="preserve">第十二条 </w:t>
      </w:r>
      <w:r>
        <w:rPr>
          <w:rFonts w:hint="eastAsia" w:ascii="仿宋_GB2312" w:hAnsi="ˎ̥" w:eastAsia="仿宋_GB2312" w:cs="宋体"/>
          <w:color w:val="000000"/>
          <w:sz w:val="32"/>
          <w:szCs w:val="32"/>
        </w:rPr>
        <w:t>乙方在工作期间，要严格遵守《中华人民共和国执业医师法》，接受甲方的管理，服从安排，做好本职工作，不得利用工作便利为本人或其他经济组织谋取不正当的经济利益。</w:t>
      </w:r>
    </w:p>
    <w:p>
      <w:pPr>
        <w:pStyle w:val="2"/>
        <w:tabs>
          <w:tab w:val="left" w:pos="634"/>
        </w:tabs>
        <w:spacing w:line="500" w:lineRule="exact"/>
        <w:ind w:firstLine="640" w:firstLineChars="200"/>
        <w:rPr>
          <w:rFonts w:ascii="黑体" w:hAnsi="黑体" w:eastAsia="黑体" w:cs="黑体"/>
          <w:spacing w:val="0"/>
          <w:szCs w:val="32"/>
        </w:rPr>
      </w:pPr>
      <w:r>
        <w:rPr>
          <w:rFonts w:hint="eastAsia" w:ascii="黑体" w:hAnsi="黑体" w:eastAsia="黑体" w:cs="黑体"/>
          <w:spacing w:val="0"/>
          <w:szCs w:val="32"/>
        </w:rPr>
        <w:t>三、协议的变更、解除和终止</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第十三条</w:t>
      </w:r>
      <w:r>
        <w:rPr>
          <w:rFonts w:hint="eastAsia" w:ascii="仿宋_GB2312" w:hAnsi="ˎ̥" w:eastAsia="仿宋_GB2312" w:cs="宋体"/>
          <w:color w:val="000000"/>
          <w:sz w:val="32"/>
          <w:szCs w:val="32"/>
        </w:rPr>
        <w:t xml:space="preserve"> 本协议所有条款经甲乙双方确认、签字后无特殊原因，原则上不得变更。</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 xml:space="preserve">第十四条 </w:t>
      </w:r>
      <w:r>
        <w:rPr>
          <w:rFonts w:hint="eastAsia" w:ascii="仿宋_GB2312" w:hAnsi="ˎ̥" w:eastAsia="仿宋_GB2312" w:cs="宋体"/>
          <w:color w:val="000000"/>
          <w:sz w:val="32"/>
          <w:szCs w:val="32"/>
        </w:rPr>
        <w:t>乙方欲解除本协议，除因疾病、工伤及其他不可抗力等原因无法履行本协议的，须在承担相应责任的前提下，提前30个工作日以书面形式告知甲方，甲方应在10个工作日内办理相关手续，可解除本协议。</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 xml:space="preserve">第十五条 </w:t>
      </w:r>
      <w:r>
        <w:rPr>
          <w:rFonts w:hint="eastAsia" w:ascii="仿宋_GB2312" w:hAnsi="ˎ̥" w:eastAsia="仿宋_GB2312" w:cs="宋体"/>
          <w:color w:val="000000"/>
          <w:sz w:val="32"/>
          <w:szCs w:val="32"/>
        </w:rPr>
        <w:t>乙方违反本协议第五条有关条款之一的，甲方确认后可单方面解除本协议，乙方不再继续享受免费教育，且须在学籍取消或被辞退之日起一个月内向甲方一次性退还已享受的免费教育费用，并缴纳违约金。</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第十六条</w:t>
      </w:r>
      <w:r>
        <w:rPr>
          <w:rFonts w:hint="eastAsia" w:ascii="仿宋_GB2312" w:hAnsi="ˎ̥" w:eastAsia="仿宋_GB2312" w:cs="宋体"/>
          <w:color w:val="000000"/>
          <w:sz w:val="32"/>
          <w:szCs w:val="32"/>
        </w:rPr>
        <w:t xml:space="preserve"> 本协议有效期满，甲乙双方协议关系自动终止。 </w:t>
      </w:r>
    </w:p>
    <w:p>
      <w:pPr>
        <w:pStyle w:val="2"/>
        <w:tabs>
          <w:tab w:val="left" w:pos="634"/>
        </w:tabs>
        <w:spacing w:line="500" w:lineRule="exact"/>
        <w:ind w:firstLine="640" w:firstLineChars="200"/>
        <w:rPr>
          <w:rFonts w:ascii="黑体" w:hAnsi="黑体" w:eastAsia="黑体" w:cs="黑体"/>
          <w:spacing w:val="0"/>
          <w:szCs w:val="32"/>
        </w:rPr>
      </w:pPr>
      <w:r>
        <w:rPr>
          <w:rFonts w:hint="eastAsia" w:ascii="黑体" w:hAnsi="黑体" w:eastAsia="黑体" w:cs="黑体"/>
          <w:spacing w:val="0"/>
          <w:szCs w:val="32"/>
        </w:rPr>
        <w:t>四、违约责任</w:t>
      </w:r>
    </w:p>
    <w:p>
      <w:pPr>
        <w:widowControl/>
        <w:adjustRightInd w:val="0"/>
        <w:snapToGrid w:val="0"/>
        <w:spacing w:line="500" w:lineRule="exact"/>
        <w:ind w:firstLine="643" w:firstLineChars="200"/>
        <w:rPr>
          <w:rFonts w:ascii="仿宋_GB2312" w:hAnsi="宋体" w:eastAsia="仿宋_GB2312" w:cs="宋体"/>
          <w:b/>
          <w:bCs/>
          <w:color w:val="000000"/>
          <w:sz w:val="32"/>
          <w:szCs w:val="32"/>
        </w:rPr>
      </w:pPr>
      <w:r>
        <w:rPr>
          <w:rFonts w:hint="eastAsia" w:ascii="仿宋_GB2312" w:hAnsi="ˎ̥" w:eastAsia="仿宋_GB2312" w:cs="宋体"/>
          <w:b/>
          <w:bCs/>
          <w:color w:val="000000"/>
          <w:sz w:val="32"/>
          <w:szCs w:val="32"/>
        </w:rPr>
        <w:t>第十七条</w:t>
      </w:r>
      <w:r>
        <w:rPr>
          <w:rFonts w:hint="eastAsia" w:ascii="仿宋_GB2312" w:hAnsi="ˎ̥" w:eastAsia="仿宋_GB2312" w:cs="宋体"/>
          <w:color w:val="000000"/>
          <w:sz w:val="32"/>
          <w:szCs w:val="32"/>
        </w:rPr>
        <w:t xml:space="preserve"> 乙方违反本协议相关条款，要按规定向甲方一次性退还已享受的免费教育费用，并缴纳违约金，双方同时解除本协议。</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第十八条</w:t>
      </w:r>
      <w:r>
        <w:rPr>
          <w:rFonts w:hint="eastAsia" w:ascii="仿宋_GB2312" w:hAnsi="ˎ̥" w:eastAsia="仿宋_GB2312" w:cs="宋体"/>
          <w:color w:val="000000"/>
          <w:sz w:val="32"/>
          <w:szCs w:val="32"/>
        </w:rPr>
        <w:t xml:space="preserve"> 乙方毕业后如不履行本协议，甲方可收回就业编制，并取消乙方在自治区境内的各级各类卫生机构进行执业注册资格。 </w:t>
      </w:r>
    </w:p>
    <w:p>
      <w:pPr>
        <w:pStyle w:val="2"/>
        <w:tabs>
          <w:tab w:val="left" w:pos="634"/>
        </w:tabs>
        <w:spacing w:line="500" w:lineRule="exact"/>
        <w:ind w:firstLine="640" w:firstLineChars="200"/>
        <w:rPr>
          <w:rFonts w:ascii="黑体" w:hAnsi="黑体" w:eastAsia="黑体" w:cs="黑体"/>
          <w:spacing w:val="0"/>
          <w:szCs w:val="32"/>
        </w:rPr>
      </w:pPr>
      <w:r>
        <w:rPr>
          <w:rFonts w:hint="eastAsia" w:ascii="黑体" w:hAnsi="黑体" w:eastAsia="黑体" w:cs="黑体"/>
          <w:spacing w:val="0"/>
          <w:szCs w:val="32"/>
        </w:rPr>
        <w:t>五、协议期限</w:t>
      </w:r>
    </w:p>
    <w:p>
      <w:pPr>
        <w:widowControl/>
        <w:adjustRightInd w:val="0"/>
        <w:snapToGrid w:val="0"/>
        <w:spacing w:line="500" w:lineRule="exact"/>
        <w:ind w:firstLine="643" w:firstLineChars="200"/>
        <w:rPr>
          <w:rFonts w:ascii="仿宋_GB2312" w:hAnsi="宋体" w:eastAsia="仿宋_GB2312" w:cs="宋体"/>
          <w:b/>
          <w:bCs/>
          <w:color w:val="000000"/>
          <w:sz w:val="32"/>
          <w:szCs w:val="32"/>
        </w:rPr>
      </w:pPr>
      <w:r>
        <w:rPr>
          <w:rFonts w:hint="eastAsia" w:ascii="仿宋_GB2312" w:hAnsi="ˎ̥" w:eastAsia="仿宋_GB2312" w:cs="宋体"/>
          <w:b/>
          <w:bCs/>
          <w:color w:val="000000"/>
          <w:sz w:val="32"/>
          <w:szCs w:val="32"/>
        </w:rPr>
        <w:t>第十九条</w:t>
      </w:r>
      <w:r>
        <w:rPr>
          <w:rFonts w:hint="eastAsia" w:ascii="仿宋_GB2312" w:hAnsi="ˎ̥" w:eastAsia="仿宋_GB2312" w:cs="宋体"/>
          <w:color w:val="000000"/>
          <w:sz w:val="32"/>
          <w:szCs w:val="32"/>
        </w:rPr>
        <w:t xml:space="preserve"> 本协议于乙方正式被承担教学任务的院校录取后生效，于乙方毕业、完成规培并在定向的团场卫生机构完成服务期限后失效。 </w:t>
      </w:r>
    </w:p>
    <w:p>
      <w:pPr>
        <w:pStyle w:val="2"/>
        <w:tabs>
          <w:tab w:val="left" w:pos="634"/>
        </w:tabs>
        <w:spacing w:line="500" w:lineRule="exact"/>
        <w:ind w:firstLine="640" w:firstLineChars="200"/>
        <w:rPr>
          <w:rFonts w:ascii="黑体" w:hAnsi="黑体" w:eastAsia="黑体" w:cs="黑体"/>
          <w:spacing w:val="0"/>
          <w:szCs w:val="32"/>
        </w:rPr>
      </w:pPr>
      <w:r>
        <w:rPr>
          <w:rFonts w:hint="eastAsia" w:ascii="黑体" w:hAnsi="黑体" w:eastAsia="黑体" w:cs="黑体"/>
          <w:spacing w:val="0"/>
          <w:szCs w:val="32"/>
        </w:rPr>
        <w:t>六、其他</w:t>
      </w:r>
    </w:p>
    <w:p>
      <w:pPr>
        <w:widowControl/>
        <w:adjustRightInd w:val="0"/>
        <w:snapToGrid w:val="0"/>
        <w:spacing w:line="500" w:lineRule="exact"/>
        <w:ind w:firstLine="643" w:firstLineChars="200"/>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第二十条</w:t>
      </w:r>
      <w:r>
        <w:rPr>
          <w:rFonts w:hint="eastAsia" w:ascii="仿宋_GB2312" w:hAnsi="ˎ̥" w:eastAsia="仿宋_GB2312" w:cs="宋体"/>
          <w:color w:val="000000"/>
          <w:sz w:val="32"/>
          <w:szCs w:val="32"/>
        </w:rPr>
        <w:t xml:space="preserve"> 本协议未尽事宜，各师可根据具体情况制定补充协议。各师制定的补充协议需经兵团卫生健康委、</w:t>
      </w:r>
      <w:r>
        <w:rPr>
          <w:rFonts w:hint="eastAsia" w:ascii="仿宋_GB2312" w:eastAsia="仿宋_GB2312"/>
          <w:sz w:val="32"/>
          <w:szCs w:val="32"/>
        </w:rPr>
        <w:t>人力资源和社会保障局</w:t>
      </w:r>
      <w:r>
        <w:rPr>
          <w:rFonts w:hint="eastAsia" w:ascii="仿宋_GB2312" w:hAnsi="ˎ̥" w:eastAsia="仿宋_GB2312" w:cs="宋体"/>
          <w:color w:val="000000"/>
          <w:sz w:val="32"/>
          <w:szCs w:val="32"/>
        </w:rPr>
        <w:t>、教育局认可后生效。</w:t>
      </w:r>
    </w:p>
    <w:p>
      <w:pPr>
        <w:widowControl/>
        <w:adjustRightInd w:val="0"/>
        <w:snapToGrid w:val="0"/>
        <w:spacing w:line="500" w:lineRule="exact"/>
        <w:ind w:firstLine="643" w:firstLineChars="200"/>
        <w:jc w:val="left"/>
        <w:rPr>
          <w:rFonts w:ascii="仿宋_GB2312" w:hAnsi="ˎ̥" w:eastAsia="仿宋_GB2312" w:cs="宋体"/>
          <w:color w:val="000000"/>
          <w:sz w:val="32"/>
          <w:szCs w:val="32"/>
        </w:rPr>
      </w:pPr>
      <w:r>
        <w:rPr>
          <w:rFonts w:hint="eastAsia" w:ascii="仿宋_GB2312" w:hAnsi="ˎ̥" w:eastAsia="仿宋_GB2312" w:cs="宋体"/>
          <w:b/>
          <w:bCs/>
          <w:color w:val="000000"/>
          <w:sz w:val="32"/>
          <w:szCs w:val="32"/>
        </w:rPr>
        <w:t>第二十一条</w:t>
      </w:r>
      <w:r>
        <w:rPr>
          <w:rFonts w:hint="eastAsia" w:ascii="仿宋_GB2312" w:hAnsi="ˎ̥" w:eastAsia="仿宋_GB2312" w:cs="宋体"/>
          <w:color w:val="000000"/>
          <w:sz w:val="32"/>
          <w:szCs w:val="32"/>
        </w:rPr>
        <w:t xml:space="preserve"> 本协议一式两份，甲方、乙方各持一份。各方持有的协议书具有同等法律效力。</w:t>
      </w:r>
    </w:p>
    <w:p>
      <w:pPr>
        <w:widowControl/>
        <w:adjustRightInd w:val="0"/>
        <w:snapToGrid w:val="0"/>
        <w:spacing w:line="500" w:lineRule="exact"/>
        <w:ind w:firstLine="643" w:firstLineChars="200"/>
        <w:jc w:val="left"/>
        <w:rPr>
          <w:rFonts w:ascii="仿宋_GB2312" w:hAnsi="ˎ̥" w:eastAsia="仿宋_GB2312" w:cs="宋体"/>
          <w:bCs/>
          <w:color w:val="000000"/>
          <w:sz w:val="32"/>
          <w:szCs w:val="32"/>
        </w:rPr>
      </w:pPr>
      <w:r>
        <w:rPr>
          <w:rFonts w:hint="eastAsia" w:ascii="仿宋_GB2312" w:hAnsi="ˎ̥" w:eastAsia="仿宋_GB2312" w:cs="宋体"/>
          <w:b/>
          <w:bCs/>
          <w:color w:val="000000"/>
          <w:sz w:val="32"/>
          <w:szCs w:val="32"/>
        </w:rPr>
        <w:t xml:space="preserve">第二十二条 </w:t>
      </w:r>
      <w:r>
        <w:rPr>
          <w:rFonts w:hint="eastAsia" w:ascii="仿宋_GB2312" w:hAnsi="ˎ̥" w:eastAsia="仿宋_GB2312" w:cs="宋体"/>
          <w:bCs/>
          <w:color w:val="000000"/>
          <w:sz w:val="32"/>
          <w:szCs w:val="32"/>
        </w:rPr>
        <w:t>本协议经甲方盖章和法定代表人签章，以及乙方签字后生效。乙方签订本协议时如未满18周岁，须由乙方及其监护人共同签订本协议。</w:t>
      </w:r>
    </w:p>
    <w:p>
      <w:pPr>
        <w:widowControl/>
        <w:adjustRightInd w:val="0"/>
        <w:snapToGrid w:val="0"/>
        <w:spacing w:line="500" w:lineRule="exact"/>
        <w:ind w:firstLine="643" w:firstLineChars="200"/>
        <w:jc w:val="left"/>
        <w:rPr>
          <w:rFonts w:ascii="仿宋_GB2312" w:hAnsi="ˎ̥" w:eastAsia="仿宋_GB2312" w:cs="宋体"/>
          <w:color w:val="000000"/>
          <w:sz w:val="32"/>
          <w:szCs w:val="32"/>
        </w:rPr>
      </w:pPr>
      <w:r>
        <w:rPr>
          <w:rFonts w:hint="eastAsia" w:ascii="仿宋_GB2312" w:hAnsi="ˎ̥" w:eastAsia="仿宋_GB2312" w:cs="宋体"/>
          <w:b/>
          <w:bCs/>
          <w:color w:val="000000"/>
          <w:sz w:val="32"/>
          <w:szCs w:val="32"/>
        </w:rPr>
        <w:t xml:space="preserve">第二十三条 </w:t>
      </w:r>
      <w:r>
        <w:rPr>
          <w:rFonts w:hint="eastAsia" w:ascii="仿宋_GB2312" w:hAnsi="ˎ̥" w:eastAsia="仿宋_GB2312" w:cs="宋体"/>
          <w:color w:val="000000"/>
          <w:sz w:val="32"/>
          <w:szCs w:val="32"/>
        </w:rPr>
        <w:t>本协议解释权在兵团卫生健康委、</w:t>
      </w:r>
      <w:r>
        <w:rPr>
          <w:rFonts w:hint="eastAsia" w:ascii="仿宋_GB2312" w:eastAsia="仿宋_GB2312"/>
          <w:sz w:val="32"/>
          <w:szCs w:val="32"/>
        </w:rPr>
        <w:t>人力资源和社会保障局</w:t>
      </w:r>
      <w:r>
        <w:rPr>
          <w:rFonts w:hint="eastAsia" w:ascii="仿宋_GB2312" w:hAnsi="ˎ̥" w:eastAsia="仿宋_GB2312" w:cs="宋体"/>
          <w:color w:val="000000"/>
          <w:sz w:val="32"/>
          <w:szCs w:val="32"/>
        </w:rPr>
        <w:t>、教育局。</w:t>
      </w:r>
    </w:p>
    <w:p>
      <w:pPr>
        <w:widowControl/>
        <w:adjustRightInd w:val="0"/>
        <w:snapToGrid w:val="0"/>
        <w:spacing w:line="500" w:lineRule="exact"/>
        <w:ind w:firstLine="512" w:firstLineChars="160"/>
        <w:jc w:val="left"/>
        <w:rPr>
          <w:rFonts w:ascii="仿宋_GB2312" w:hAnsi="ˎ̥" w:eastAsia="仿宋_GB2312" w:cs="宋体"/>
          <w:color w:val="000000"/>
          <w:sz w:val="32"/>
          <w:szCs w:val="32"/>
        </w:rPr>
      </w:pPr>
    </w:p>
    <w:p>
      <w:pPr>
        <w:widowControl/>
        <w:adjustRightInd w:val="0"/>
        <w:snapToGrid w:val="0"/>
        <w:spacing w:line="500" w:lineRule="exact"/>
        <w:ind w:firstLine="514" w:firstLineChars="160"/>
        <w:jc w:val="left"/>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甲方：</w:t>
      </w:r>
    </w:p>
    <w:p>
      <w:pPr>
        <w:widowControl/>
        <w:adjustRightInd w:val="0"/>
        <w:snapToGrid w:val="0"/>
        <w:spacing w:line="500" w:lineRule="exact"/>
        <w:ind w:firstLine="512" w:firstLineChars="160"/>
        <w:rPr>
          <w:rFonts w:ascii="仿宋_GB2312" w:hAnsi="ˎ̥" w:eastAsia="仿宋_GB2312" w:cs="宋体"/>
          <w:color w:val="000000"/>
          <w:sz w:val="32"/>
          <w:szCs w:val="32"/>
        </w:rPr>
      </w:pPr>
      <w:r>
        <w:rPr>
          <w:rFonts w:hint="eastAsia" w:ascii="仿宋_GB2312" w:hAnsi="ˎ̥" w:eastAsia="仿宋_GB2312" w:cs="宋体"/>
          <w:color w:val="000000"/>
          <w:sz w:val="32"/>
          <w:szCs w:val="32"/>
        </w:rPr>
        <w:t>师</w:t>
      </w:r>
      <w:r>
        <w:rPr>
          <w:rFonts w:hint="eastAsia" w:ascii="仿宋_GB2312" w:eastAsia="仿宋_GB2312"/>
          <w:sz w:val="32"/>
          <w:szCs w:val="32"/>
        </w:rPr>
        <w:t>（市）</w:t>
      </w:r>
      <w:r>
        <w:rPr>
          <w:rFonts w:hint="eastAsia" w:ascii="仿宋_GB2312" w:hAnsi="ˎ̥" w:eastAsia="仿宋_GB2312" w:cs="宋体"/>
          <w:color w:val="000000"/>
          <w:sz w:val="32"/>
          <w:szCs w:val="32"/>
        </w:rPr>
        <w:t xml:space="preserve">卫生健康行政部门（公章）  </w:t>
      </w:r>
    </w:p>
    <w:p>
      <w:pPr>
        <w:widowControl/>
        <w:adjustRightInd w:val="0"/>
        <w:snapToGrid w:val="0"/>
        <w:spacing w:line="500" w:lineRule="exact"/>
        <w:ind w:firstLine="512" w:firstLineChars="160"/>
        <w:jc w:val="left"/>
        <w:rPr>
          <w:rFonts w:ascii="仿宋_GB2312" w:hAnsi="ˎ̥" w:eastAsia="仿宋_GB2312" w:cs="宋体"/>
          <w:color w:val="000000"/>
          <w:sz w:val="32"/>
          <w:szCs w:val="32"/>
        </w:rPr>
      </w:pPr>
      <w:r>
        <w:rPr>
          <w:rFonts w:hint="eastAsia" w:ascii="仿宋_GB2312" w:hAnsi="ˎ̥" w:eastAsia="仿宋_GB2312" w:cs="宋体"/>
          <w:color w:val="000000"/>
          <w:sz w:val="32"/>
          <w:szCs w:val="32"/>
        </w:rPr>
        <w:t>负责人（签名）：           签订日期：   年　月　 日</w:t>
      </w:r>
    </w:p>
    <w:p>
      <w:pPr>
        <w:widowControl/>
        <w:adjustRightInd w:val="0"/>
        <w:snapToGrid w:val="0"/>
        <w:spacing w:line="500" w:lineRule="exact"/>
        <w:ind w:firstLine="512" w:firstLineChars="160"/>
        <w:jc w:val="left"/>
        <w:rPr>
          <w:rFonts w:ascii="仿宋_GB2312" w:hAnsi="ˎ̥" w:eastAsia="仿宋_GB2312" w:cs="宋体"/>
          <w:color w:val="000000"/>
          <w:sz w:val="32"/>
          <w:szCs w:val="32"/>
        </w:rPr>
      </w:pPr>
    </w:p>
    <w:p>
      <w:pPr>
        <w:widowControl/>
        <w:adjustRightInd w:val="0"/>
        <w:snapToGrid w:val="0"/>
        <w:spacing w:line="500" w:lineRule="exact"/>
        <w:ind w:firstLine="512" w:firstLineChars="160"/>
        <w:jc w:val="left"/>
        <w:rPr>
          <w:rFonts w:ascii="仿宋_GB2312" w:hAnsi="ˎ̥" w:eastAsia="仿宋_GB2312" w:cs="宋体"/>
          <w:color w:val="000000"/>
          <w:sz w:val="32"/>
          <w:szCs w:val="32"/>
        </w:rPr>
      </w:pPr>
      <w:r>
        <w:rPr>
          <w:rFonts w:hint="eastAsia" w:ascii="仿宋_GB2312" w:hAnsi="ˎ̥" w:eastAsia="仿宋_GB2312" w:cs="宋体"/>
          <w:color w:val="000000"/>
          <w:sz w:val="32"/>
          <w:szCs w:val="32"/>
        </w:rPr>
        <w:t>师</w:t>
      </w:r>
      <w:r>
        <w:rPr>
          <w:rFonts w:hint="eastAsia" w:ascii="仿宋_GB2312" w:eastAsia="仿宋_GB2312"/>
          <w:sz w:val="32"/>
          <w:szCs w:val="32"/>
        </w:rPr>
        <w:t>（市）人力资源和社会保障局</w:t>
      </w:r>
      <w:r>
        <w:rPr>
          <w:rFonts w:hint="eastAsia" w:ascii="仿宋_GB2312" w:hAnsi="ˎ̥" w:eastAsia="仿宋_GB2312" w:cs="宋体"/>
          <w:color w:val="000000"/>
          <w:sz w:val="32"/>
          <w:szCs w:val="32"/>
        </w:rPr>
        <w:t xml:space="preserve">（公章）  </w:t>
      </w:r>
    </w:p>
    <w:p>
      <w:pPr>
        <w:widowControl/>
        <w:adjustRightInd w:val="0"/>
        <w:snapToGrid w:val="0"/>
        <w:spacing w:line="500" w:lineRule="exact"/>
        <w:ind w:firstLine="512" w:firstLineChars="160"/>
        <w:jc w:val="left"/>
        <w:rPr>
          <w:rFonts w:ascii="仿宋_GB2312" w:hAnsi="ˎ̥" w:eastAsia="仿宋_GB2312" w:cs="宋体"/>
          <w:color w:val="000000"/>
          <w:sz w:val="32"/>
          <w:szCs w:val="32"/>
        </w:rPr>
      </w:pPr>
      <w:r>
        <w:rPr>
          <w:rFonts w:hint="eastAsia" w:ascii="仿宋_GB2312" w:hAnsi="ˎ̥" w:eastAsia="仿宋_GB2312" w:cs="宋体"/>
          <w:color w:val="000000"/>
          <w:sz w:val="32"/>
          <w:szCs w:val="32"/>
        </w:rPr>
        <w:t>负责人（签名）：            签订日期：   年　月　日</w:t>
      </w:r>
    </w:p>
    <w:p>
      <w:pPr>
        <w:widowControl/>
        <w:adjustRightInd w:val="0"/>
        <w:snapToGrid w:val="0"/>
        <w:spacing w:line="500" w:lineRule="exact"/>
        <w:ind w:firstLine="512" w:firstLineChars="160"/>
        <w:jc w:val="left"/>
        <w:rPr>
          <w:rFonts w:ascii="仿宋_GB2312" w:hAnsi="ˎ̥" w:eastAsia="仿宋_GB2312" w:cs="宋体"/>
          <w:color w:val="000000"/>
          <w:sz w:val="32"/>
          <w:szCs w:val="32"/>
        </w:rPr>
      </w:pPr>
    </w:p>
    <w:p>
      <w:pPr>
        <w:widowControl/>
        <w:adjustRightInd w:val="0"/>
        <w:snapToGrid w:val="0"/>
        <w:spacing w:line="500" w:lineRule="exact"/>
        <w:ind w:firstLine="512" w:firstLineChars="160"/>
        <w:jc w:val="left"/>
        <w:rPr>
          <w:rFonts w:ascii="仿宋_GB2312" w:hAnsi="ˎ̥" w:eastAsia="仿宋_GB2312" w:cs="宋体"/>
          <w:color w:val="000000"/>
          <w:sz w:val="32"/>
          <w:szCs w:val="32"/>
        </w:rPr>
      </w:pPr>
      <w:r>
        <w:rPr>
          <w:rFonts w:hint="eastAsia" w:ascii="仿宋_GB2312" w:hAnsi="ˎ̥" w:eastAsia="仿宋_GB2312" w:cs="宋体"/>
          <w:color w:val="000000"/>
          <w:sz w:val="32"/>
          <w:szCs w:val="32"/>
        </w:rPr>
        <w:t>师</w:t>
      </w:r>
      <w:r>
        <w:rPr>
          <w:rFonts w:hint="eastAsia" w:ascii="仿宋_GB2312" w:eastAsia="仿宋_GB2312"/>
          <w:sz w:val="32"/>
          <w:szCs w:val="32"/>
        </w:rPr>
        <w:t>（市）</w:t>
      </w:r>
      <w:r>
        <w:rPr>
          <w:rFonts w:hint="eastAsia" w:ascii="仿宋_GB2312" w:hAnsi="ˎ̥" w:eastAsia="仿宋_GB2312" w:cs="宋体"/>
          <w:color w:val="000000"/>
          <w:sz w:val="32"/>
          <w:szCs w:val="32"/>
        </w:rPr>
        <w:t>教育局（公章）</w:t>
      </w:r>
    </w:p>
    <w:p>
      <w:pPr>
        <w:widowControl/>
        <w:adjustRightInd w:val="0"/>
        <w:snapToGrid w:val="0"/>
        <w:spacing w:line="500" w:lineRule="exact"/>
        <w:ind w:firstLine="512" w:firstLineChars="160"/>
        <w:rPr>
          <w:rFonts w:ascii="仿宋_GB2312" w:hAnsi="ˎ̥" w:eastAsia="仿宋_GB2312" w:cs="宋体"/>
          <w:color w:val="000000"/>
          <w:sz w:val="32"/>
          <w:szCs w:val="32"/>
        </w:rPr>
      </w:pPr>
      <w:r>
        <w:rPr>
          <w:rFonts w:hint="eastAsia" w:ascii="仿宋_GB2312" w:hAnsi="ˎ̥" w:eastAsia="仿宋_GB2312" w:cs="宋体"/>
          <w:color w:val="000000"/>
          <w:sz w:val="32"/>
          <w:szCs w:val="32"/>
        </w:rPr>
        <w:t>负责人（签名）：            签订日期：   年　月　日</w:t>
      </w:r>
    </w:p>
    <w:p>
      <w:pPr>
        <w:widowControl/>
        <w:adjustRightInd w:val="0"/>
        <w:snapToGrid w:val="0"/>
        <w:spacing w:line="500" w:lineRule="exact"/>
        <w:ind w:firstLine="512" w:firstLineChars="160"/>
        <w:rPr>
          <w:rFonts w:ascii="仿宋_GB2312" w:hAnsi="ˎ̥" w:eastAsia="仿宋_GB2312" w:cs="宋体"/>
          <w:color w:val="000000"/>
          <w:sz w:val="32"/>
          <w:szCs w:val="32"/>
        </w:rPr>
      </w:pPr>
    </w:p>
    <w:p>
      <w:pPr>
        <w:widowControl/>
        <w:adjustRightInd w:val="0"/>
        <w:snapToGrid w:val="0"/>
        <w:spacing w:line="500" w:lineRule="exact"/>
        <w:ind w:firstLine="514" w:firstLineChars="160"/>
        <w:rPr>
          <w:rFonts w:ascii="仿宋_GB2312" w:hAnsi="ˎ̥" w:eastAsia="仿宋_GB2312" w:cs="宋体"/>
          <w:b/>
          <w:bCs/>
          <w:color w:val="000000"/>
          <w:sz w:val="32"/>
          <w:szCs w:val="32"/>
        </w:rPr>
      </w:pPr>
      <w:r>
        <w:rPr>
          <w:rFonts w:hint="eastAsia" w:ascii="仿宋_GB2312" w:hAnsi="ˎ̥" w:eastAsia="仿宋_GB2312" w:cs="宋体"/>
          <w:b/>
          <w:bCs/>
          <w:color w:val="000000"/>
          <w:sz w:val="32"/>
          <w:szCs w:val="32"/>
        </w:rPr>
        <w:t>乙方：</w:t>
      </w:r>
    </w:p>
    <w:p>
      <w:pPr>
        <w:widowControl/>
        <w:adjustRightInd w:val="0"/>
        <w:snapToGrid w:val="0"/>
        <w:spacing w:line="500" w:lineRule="exact"/>
        <w:ind w:firstLine="512" w:firstLineChars="160"/>
        <w:rPr>
          <w:rFonts w:ascii="仿宋_GB2312" w:hAnsi="ˎ̥" w:eastAsia="仿宋_GB2312" w:cs="宋体"/>
          <w:color w:val="000000"/>
          <w:sz w:val="32"/>
          <w:szCs w:val="32"/>
          <w:u w:val="single"/>
        </w:rPr>
      </w:pPr>
      <w:r>
        <w:rPr>
          <w:rFonts w:hint="eastAsia" w:ascii="仿宋_GB2312" w:hAnsi="ˎ̥" w:eastAsia="仿宋_GB2312" w:cs="宋体"/>
          <w:color w:val="000000"/>
          <w:sz w:val="32"/>
          <w:szCs w:val="32"/>
        </w:rPr>
        <w:t>乙方签名并按手印</w:t>
      </w:r>
    </w:p>
    <w:p>
      <w:pPr>
        <w:widowControl/>
        <w:adjustRightInd w:val="0"/>
        <w:snapToGrid w:val="0"/>
        <w:spacing w:line="500" w:lineRule="exact"/>
        <w:ind w:firstLine="512" w:firstLineChars="160"/>
        <w:rPr>
          <w:rFonts w:ascii="仿宋_GB2312" w:hAnsi="ˎ̥" w:eastAsia="仿宋_GB2312" w:cs="宋体"/>
          <w:color w:val="000000"/>
          <w:sz w:val="32"/>
          <w:szCs w:val="32"/>
          <w:u w:val="single"/>
        </w:rPr>
      </w:pPr>
      <w:r>
        <w:rPr>
          <w:rFonts w:hint="eastAsia" w:ascii="仿宋_GB2312" w:hAnsi="ˎ̥" w:eastAsia="仿宋_GB2312" w:cs="宋体"/>
          <w:color w:val="000000"/>
          <w:sz w:val="32"/>
          <w:szCs w:val="32"/>
        </w:rPr>
        <w:t>乙方监护人签字并按手印</w:t>
      </w:r>
    </w:p>
    <w:p>
      <w:pPr>
        <w:adjustRightInd w:val="0"/>
        <w:snapToGrid w:val="0"/>
        <w:spacing w:line="500" w:lineRule="exact"/>
        <w:ind w:firstLine="512" w:firstLineChars="160"/>
        <w:jc w:val="center"/>
        <w:rPr>
          <w:rFonts w:ascii="仿宋_GB2312" w:hAnsi="ˎ̥" w:eastAsia="仿宋_GB2312" w:cs="宋体"/>
          <w:color w:val="000000"/>
          <w:sz w:val="32"/>
          <w:szCs w:val="32"/>
        </w:rPr>
      </w:pPr>
    </w:p>
    <w:p>
      <w:pPr>
        <w:adjustRightInd w:val="0"/>
        <w:snapToGrid w:val="0"/>
        <w:spacing w:line="500" w:lineRule="exact"/>
        <w:ind w:firstLine="512" w:firstLineChars="160"/>
        <w:jc w:val="center"/>
        <w:rPr>
          <w:rFonts w:ascii="仿宋_GB2312" w:hAnsi="ˎ̥" w:eastAsia="仿宋_GB2312" w:cs="宋体"/>
          <w:color w:val="000000"/>
          <w:sz w:val="32"/>
          <w:szCs w:val="32"/>
        </w:rPr>
      </w:pPr>
      <w:r>
        <w:rPr>
          <w:rFonts w:hint="eastAsia" w:ascii="仿宋_GB2312" w:hAnsi="ˎ̥" w:eastAsia="仿宋_GB2312" w:cs="宋体"/>
          <w:color w:val="000000"/>
          <w:sz w:val="32"/>
          <w:szCs w:val="32"/>
        </w:rPr>
        <w:t>签订日期：   年　月　日</w:t>
      </w:r>
    </w:p>
    <w:p>
      <w:pPr>
        <w:adjustRightInd w:val="0"/>
        <w:snapToGrid w:val="0"/>
        <w:spacing w:line="500" w:lineRule="exact"/>
        <w:rPr>
          <w:rFonts w:ascii="黑体" w:eastAsia="黑体"/>
          <w:sz w:val="32"/>
          <w:szCs w:val="32"/>
        </w:rPr>
      </w:pPr>
      <w:r>
        <w:rPr>
          <w:sz w:val="32"/>
          <w:szCs w:val="32"/>
        </w:rPr>
        <w:br w:type="page"/>
      </w:r>
      <w:r>
        <w:rPr>
          <w:rFonts w:hint="eastAsia" w:ascii="黑体" w:eastAsia="黑体"/>
          <w:sz w:val="32"/>
          <w:szCs w:val="32"/>
        </w:rPr>
        <w:t>附件3</w:t>
      </w:r>
    </w:p>
    <w:p>
      <w:pPr>
        <w:adjustRightInd w:val="0"/>
        <w:snapToGrid w:val="0"/>
        <w:spacing w:line="580" w:lineRule="exact"/>
        <w:jc w:val="center"/>
        <w:rPr>
          <w:rFonts w:eastAsia="方正小标宋简体"/>
          <w:sz w:val="44"/>
          <w:szCs w:val="44"/>
        </w:rPr>
      </w:pPr>
      <w:r>
        <w:rPr>
          <w:rFonts w:hint="eastAsia" w:eastAsia="方正小标宋简体"/>
          <w:sz w:val="44"/>
          <w:szCs w:val="44"/>
        </w:rPr>
        <w:t>2020年兵团订单定向免费本科医学生</w:t>
      </w:r>
    </w:p>
    <w:p>
      <w:pPr>
        <w:adjustRightInd w:val="0"/>
        <w:snapToGrid w:val="0"/>
        <w:spacing w:line="580" w:lineRule="exact"/>
        <w:jc w:val="center"/>
        <w:rPr>
          <w:rFonts w:eastAsia="方正小标宋简体"/>
          <w:sz w:val="36"/>
          <w:szCs w:val="36"/>
        </w:rPr>
      </w:pPr>
      <w:r>
        <w:rPr>
          <w:rFonts w:hint="eastAsia" w:eastAsia="方正小标宋简体"/>
          <w:sz w:val="44"/>
          <w:szCs w:val="44"/>
        </w:rPr>
        <w:t>培养报考生基本信息统计表</w:t>
      </w:r>
    </w:p>
    <w:p>
      <w:pPr>
        <w:adjustRightInd w:val="0"/>
        <w:snapToGrid w:val="0"/>
        <w:spacing w:line="580" w:lineRule="exact"/>
        <w:jc w:val="center"/>
        <w:rPr>
          <w:rFonts w:eastAsia="方正小标宋简体"/>
          <w:sz w:val="36"/>
          <w:szCs w:val="36"/>
        </w:rPr>
      </w:pPr>
    </w:p>
    <w:p>
      <w:pPr>
        <w:rPr>
          <w:rFonts w:ascii="仿宋_GB2312" w:eastAsia="仿宋_GB2312"/>
          <w:sz w:val="32"/>
          <w:szCs w:val="32"/>
        </w:rPr>
      </w:pPr>
      <w:r>
        <w:rPr>
          <w:rFonts w:hint="eastAsia" w:ascii="仿宋_GB2312" w:eastAsia="仿宋_GB2312"/>
          <w:sz w:val="32"/>
          <w:szCs w:val="32"/>
        </w:rPr>
        <w:t>师(市)卫生健康行政部门(盖章)  填报人(签字)：   填报日期：</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54"/>
        <w:gridCol w:w="597"/>
        <w:gridCol w:w="516"/>
        <w:gridCol w:w="1094"/>
        <w:gridCol w:w="943"/>
        <w:gridCol w:w="943"/>
        <w:gridCol w:w="943"/>
        <w:gridCol w:w="943"/>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254"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597"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性别</w:t>
            </w:r>
          </w:p>
        </w:tc>
        <w:tc>
          <w:tcPr>
            <w:tcW w:w="516"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民族</w:t>
            </w:r>
          </w:p>
        </w:tc>
        <w:tc>
          <w:tcPr>
            <w:tcW w:w="1094"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准考</w:t>
            </w:r>
          </w:p>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证号</w:t>
            </w:r>
          </w:p>
        </w:tc>
        <w:tc>
          <w:tcPr>
            <w:tcW w:w="943"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身份</w:t>
            </w:r>
          </w:p>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证号</w:t>
            </w:r>
          </w:p>
        </w:tc>
        <w:tc>
          <w:tcPr>
            <w:tcW w:w="943"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填报专业</w:t>
            </w:r>
          </w:p>
        </w:tc>
        <w:tc>
          <w:tcPr>
            <w:tcW w:w="943"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考试语种</w:t>
            </w:r>
          </w:p>
        </w:tc>
        <w:tc>
          <w:tcPr>
            <w:tcW w:w="943"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所在师市</w:t>
            </w:r>
          </w:p>
        </w:tc>
        <w:tc>
          <w:tcPr>
            <w:tcW w:w="1116" w:type="dxa"/>
          </w:tcPr>
          <w:p>
            <w:pPr>
              <w:adjustRightInd w:val="0"/>
              <w:snapToGrid w:val="0"/>
              <w:spacing w:line="4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户口所在团（场）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p>
        </w:tc>
        <w:tc>
          <w:tcPr>
            <w:tcW w:w="1254" w:type="dxa"/>
          </w:tcPr>
          <w:p>
            <w:pPr>
              <w:adjustRightInd w:val="0"/>
              <w:snapToGrid w:val="0"/>
              <w:spacing w:line="440" w:lineRule="exact"/>
              <w:jc w:val="center"/>
              <w:rPr>
                <w:rFonts w:ascii="仿宋_GB2312" w:hAnsi="仿宋_GB2312" w:eastAsia="仿宋_GB2312" w:cs="仿宋_GB2312"/>
                <w:sz w:val="28"/>
                <w:szCs w:val="28"/>
              </w:rPr>
            </w:pPr>
          </w:p>
        </w:tc>
        <w:tc>
          <w:tcPr>
            <w:tcW w:w="597" w:type="dxa"/>
          </w:tcPr>
          <w:p>
            <w:pPr>
              <w:adjustRightInd w:val="0"/>
              <w:snapToGrid w:val="0"/>
              <w:spacing w:line="440" w:lineRule="exact"/>
              <w:jc w:val="center"/>
              <w:rPr>
                <w:rFonts w:ascii="仿宋_GB2312" w:hAnsi="仿宋_GB2312" w:eastAsia="仿宋_GB2312" w:cs="仿宋_GB2312"/>
                <w:sz w:val="28"/>
                <w:szCs w:val="28"/>
              </w:rPr>
            </w:pPr>
          </w:p>
        </w:tc>
        <w:tc>
          <w:tcPr>
            <w:tcW w:w="516" w:type="dxa"/>
          </w:tcPr>
          <w:p>
            <w:pPr>
              <w:adjustRightInd w:val="0"/>
              <w:snapToGrid w:val="0"/>
              <w:spacing w:line="440" w:lineRule="exact"/>
              <w:jc w:val="center"/>
              <w:rPr>
                <w:rFonts w:ascii="仿宋_GB2312" w:hAnsi="仿宋_GB2312" w:eastAsia="仿宋_GB2312" w:cs="仿宋_GB2312"/>
                <w:sz w:val="28"/>
                <w:szCs w:val="28"/>
              </w:rPr>
            </w:pPr>
          </w:p>
        </w:tc>
        <w:tc>
          <w:tcPr>
            <w:tcW w:w="1094"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1116" w:type="dxa"/>
          </w:tcPr>
          <w:p>
            <w:pPr>
              <w:adjustRightInd w:val="0"/>
              <w:snapToGrid w:val="0"/>
              <w:spacing w:line="44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p>
        </w:tc>
        <w:tc>
          <w:tcPr>
            <w:tcW w:w="1254" w:type="dxa"/>
          </w:tcPr>
          <w:p>
            <w:pPr>
              <w:adjustRightInd w:val="0"/>
              <w:snapToGrid w:val="0"/>
              <w:spacing w:line="440" w:lineRule="exact"/>
              <w:jc w:val="center"/>
              <w:rPr>
                <w:rFonts w:ascii="仿宋_GB2312" w:hAnsi="仿宋_GB2312" w:eastAsia="仿宋_GB2312" w:cs="仿宋_GB2312"/>
                <w:sz w:val="28"/>
                <w:szCs w:val="28"/>
              </w:rPr>
            </w:pPr>
          </w:p>
        </w:tc>
        <w:tc>
          <w:tcPr>
            <w:tcW w:w="597" w:type="dxa"/>
          </w:tcPr>
          <w:p>
            <w:pPr>
              <w:adjustRightInd w:val="0"/>
              <w:snapToGrid w:val="0"/>
              <w:spacing w:line="440" w:lineRule="exact"/>
              <w:jc w:val="center"/>
              <w:rPr>
                <w:rFonts w:ascii="仿宋_GB2312" w:hAnsi="仿宋_GB2312" w:eastAsia="仿宋_GB2312" w:cs="仿宋_GB2312"/>
                <w:sz w:val="28"/>
                <w:szCs w:val="28"/>
              </w:rPr>
            </w:pPr>
          </w:p>
        </w:tc>
        <w:tc>
          <w:tcPr>
            <w:tcW w:w="516" w:type="dxa"/>
          </w:tcPr>
          <w:p>
            <w:pPr>
              <w:adjustRightInd w:val="0"/>
              <w:snapToGrid w:val="0"/>
              <w:spacing w:line="440" w:lineRule="exact"/>
              <w:jc w:val="center"/>
              <w:rPr>
                <w:rFonts w:ascii="仿宋_GB2312" w:hAnsi="仿宋_GB2312" w:eastAsia="仿宋_GB2312" w:cs="仿宋_GB2312"/>
                <w:sz w:val="28"/>
                <w:szCs w:val="28"/>
              </w:rPr>
            </w:pPr>
          </w:p>
        </w:tc>
        <w:tc>
          <w:tcPr>
            <w:tcW w:w="1094"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1116" w:type="dxa"/>
          </w:tcPr>
          <w:p>
            <w:pPr>
              <w:adjustRightInd w:val="0"/>
              <w:snapToGrid w:val="0"/>
              <w:spacing w:line="44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p>
        </w:tc>
        <w:tc>
          <w:tcPr>
            <w:tcW w:w="1254" w:type="dxa"/>
          </w:tcPr>
          <w:p>
            <w:pPr>
              <w:adjustRightInd w:val="0"/>
              <w:snapToGrid w:val="0"/>
              <w:spacing w:line="440" w:lineRule="exact"/>
              <w:jc w:val="center"/>
              <w:rPr>
                <w:rFonts w:ascii="仿宋_GB2312" w:hAnsi="仿宋_GB2312" w:eastAsia="仿宋_GB2312" w:cs="仿宋_GB2312"/>
                <w:sz w:val="28"/>
                <w:szCs w:val="28"/>
              </w:rPr>
            </w:pPr>
          </w:p>
        </w:tc>
        <w:tc>
          <w:tcPr>
            <w:tcW w:w="597" w:type="dxa"/>
          </w:tcPr>
          <w:p>
            <w:pPr>
              <w:adjustRightInd w:val="0"/>
              <w:snapToGrid w:val="0"/>
              <w:spacing w:line="440" w:lineRule="exact"/>
              <w:jc w:val="center"/>
              <w:rPr>
                <w:rFonts w:ascii="仿宋_GB2312" w:hAnsi="仿宋_GB2312" w:eastAsia="仿宋_GB2312" w:cs="仿宋_GB2312"/>
                <w:sz w:val="28"/>
                <w:szCs w:val="28"/>
              </w:rPr>
            </w:pPr>
          </w:p>
        </w:tc>
        <w:tc>
          <w:tcPr>
            <w:tcW w:w="516" w:type="dxa"/>
          </w:tcPr>
          <w:p>
            <w:pPr>
              <w:adjustRightInd w:val="0"/>
              <w:snapToGrid w:val="0"/>
              <w:spacing w:line="440" w:lineRule="exact"/>
              <w:jc w:val="center"/>
              <w:rPr>
                <w:rFonts w:ascii="仿宋_GB2312" w:hAnsi="仿宋_GB2312" w:eastAsia="仿宋_GB2312" w:cs="仿宋_GB2312"/>
                <w:sz w:val="28"/>
                <w:szCs w:val="28"/>
              </w:rPr>
            </w:pPr>
          </w:p>
        </w:tc>
        <w:tc>
          <w:tcPr>
            <w:tcW w:w="1094"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1116" w:type="dxa"/>
          </w:tcPr>
          <w:p>
            <w:pPr>
              <w:adjustRightInd w:val="0"/>
              <w:snapToGrid w:val="0"/>
              <w:spacing w:line="44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p>
        </w:tc>
        <w:tc>
          <w:tcPr>
            <w:tcW w:w="1254" w:type="dxa"/>
          </w:tcPr>
          <w:p>
            <w:pPr>
              <w:adjustRightInd w:val="0"/>
              <w:snapToGrid w:val="0"/>
              <w:spacing w:line="440" w:lineRule="exact"/>
              <w:jc w:val="center"/>
              <w:rPr>
                <w:rFonts w:ascii="仿宋_GB2312" w:hAnsi="仿宋_GB2312" w:eastAsia="仿宋_GB2312" w:cs="仿宋_GB2312"/>
                <w:sz w:val="28"/>
                <w:szCs w:val="28"/>
              </w:rPr>
            </w:pPr>
          </w:p>
        </w:tc>
        <w:tc>
          <w:tcPr>
            <w:tcW w:w="597" w:type="dxa"/>
          </w:tcPr>
          <w:p>
            <w:pPr>
              <w:adjustRightInd w:val="0"/>
              <w:snapToGrid w:val="0"/>
              <w:spacing w:line="440" w:lineRule="exact"/>
              <w:jc w:val="center"/>
              <w:rPr>
                <w:rFonts w:ascii="仿宋_GB2312" w:hAnsi="仿宋_GB2312" w:eastAsia="仿宋_GB2312" w:cs="仿宋_GB2312"/>
                <w:sz w:val="28"/>
                <w:szCs w:val="28"/>
              </w:rPr>
            </w:pPr>
          </w:p>
        </w:tc>
        <w:tc>
          <w:tcPr>
            <w:tcW w:w="516" w:type="dxa"/>
          </w:tcPr>
          <w:p>
            <w:pPr>
              <w:adjustRightInd w:val="0"/>
              <w:snapToGrid w:val="0"/>
              <w:spacing w:line="440" w:lineRule="exact"/>
              <w:jc w:val="center"/>
              <w:rPr>
                <w:rFonts w:ascii="仿宋_GB2312" w:hAnsi="仿宋_GB2312" w:eastAsia="仿宋_GB2312" w:cs="仿宋_GB2312"/>
                <w:sz w:val="28"/>
                <w:szCs w:val="28"/>
              </w:rPr>
            </w:pPr>
          </w:p>
        </w:tc>
        <w:tc>
          <w:tcPr>
            <w:tcW w:w="1094"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1116" w:type="dxa"/>
          </w:tcPr>
          <w:p>
            <w:pPr>
              <w:adjustRightInd w:val="0"/>
              <w:snapToGrid w:val="0"/>
              <w:spacing w:line="44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p>
        </w:tc>
        <w:tc>
          <w:tcPr>
            <w:tcW w:w="1254" w:type="dxa"/>
          </w:tcPr>
          <w:p>
            <w:pPr>
              <w:adjustRightInd w:val="0"/>
              <w:snapToGrid w:val="0"/>
              <w:spacing w:line="440" w:lineRule="exact"/>
              <w:jc w:val="center"/>
              <w:rPr>
                <w:rFonts w:ascii="仿宋_GB2312" w:hAnsi="仿宋_GB2312" w:eastAsia="仿宋_GB2312" w:cs="仿宋_GB2312"/>
                <w:sz w:val="28"/>
                <w:szCs w:val="28"/>
              </w:rPr>
            </w:pPr>
          </w:p>
        </w:tc>
        <w:tc>
          <w:tcPr>
            <w:tcW w:w="597" w:type="dxa"/>
          </w:tcPr>
          <w:p>
            <w:pPr>
              <w:adjustRightInd w:val="0"/>
              <w:snapToGrid w:val="0"/>
              <w:spacing w:line="440" w:lineRule="exact"/>
              <w:jc w:val="center"/>
              <w:rPr>
                <w:rFonts w:ascii="仿宋_GB2312" w:hAnsi="仿宋_GB2312" w:eastAsia="仿宋_GB2312" w:cs="仿宋_GB2312"/>
                <w:sz w:val="28"/>
                <w:szCs w:val="28"/>
              </w:rPr>
            </w:pPr>
          </w:p>
        </w:tc>
        <w:tc>
          <w:tcPr>
            <w:tcW w:w="516" w:type="dxa"/>
          </w:tcPr>
          <w:p>
            <w:pPr>
              <w:adjustRightInd w:val="0"/>
              <w:snapToGrid w:val="0"/>
              <w:spacing w:line="440" w:lineRule="exact"/>
              <w:jc w:val="center"/>
              <w:rPr>
                <w:rFonts w:ascii="仿宋_GB2312" w:hAnsi="仿宋_GB2312" w:eastAsia="仿宋_GB2312" w:cs="仿宋_GB2312"/>
                <w:sz w:val="28"/>
                <w:szCs w:val="28"/>
              </w:rPr>
            </w:pPr>
          </w:p>
        </w:tc>
        <w:tc>
          <w:tcPr>
            <w:tcW w:w="1094"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1116" w:type="dxa"/>
          </w:tcPr>
          <w:p>
            <w:pPr>
              <w:adjustRightInd w:val="0"/>
              <w:snapToGrid w:val="0"/>
              <w:spacing w:line="44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p>
        </w:tc>
        <w:tc>
          <w:tcPr>
            <w:tcW w:w="1254" w:type="dxa"/>
          </w:tcPr>
          <w:p>
            <w:pPr>
              <w:adjustRightInd w:val="0"/>
              <w:snapToGrid w:val="0"/>
              <w:spacing w:line="440" w:lineRule="exact"/>
              <w:jc w:val="center"/>
              <w:rPr>
                <w:rFonts w:ascii="仿宋_GB2312" w:hAnsi="仿宋_GB2312" w:eastAsia="仿宋_GB2312" w:cs="仿宋_GB2312"/>
                <w:sz w:val="28"/>
                <w:szCs w:val="28"/>
              </w:rPr>
            </w:pPr>
          </w:p>
        </w:tc>
        <w:tc>
          <w:tcPr>
            <w:tcW w:w="597" w:type="dxa"/>
          </w:tcPr>
          <w:p>
            <w:pPr>
              <w:adjustRightInd w:val="0"/>
              <w:snapToGrid w:val="0"/>
              <w:spacing w:line="440" w:lineRule="exact"/>
              <w:jc w:val="center"/>
              <w:rPr>
                <w:rFonts w:ascii="仿宋_GB2312" w:hAnsi="仿宋_GB2312" w:eastAsia="仿宋_GB2312" w:cs="仿宋_GB2312"/>
                <w:sz w:val="28"/>
                <w:szCs w:val="28"/>
              </w:rPr>
            </w:pPr>
          </w:p>
        </w:tc>
        <w:tc>
          <w:tcPr>
            <w:tcW w:w="516" w:type="dxa"/>
          </w:tcPr>
          <w:p>
            <w:pPr>
              <w:adjustRightInd w:val="0"/>
              <w:snapToGrid w:val="0"/>
              <w:spacing w:line="440" w:lineRule="exact"/>
              <w:jc w:val="center"/>
              <w:rPr>
                <w:rFonts w:ascii="仿宋_GB2312" w:hAnsi="仿宋_GB2312" w:eastAsia="仿宋_GB2312" w:cs="仿宋_GB2312"/>
                <w:sz w:val="28"/>
                <w:szCs w:val="28"/>
              </w:rPr>
            </w:pPr>
          </w:p>
        </w:tc>
        <w:tc>
          <w:tcPr>
            <w:tcW w:w="1094"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1116" w:type="dxa"/>
          </w:tcPr>
          <w:p>
            <w:pPr>
              <w:adjustRightInd w:val="0"/>
              <w:snapToGrid w:val="0"/>
              <w:spacing w:line="44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p>
        </w:tc>
        <w:tc>
          <w:tcPr>
            <w:tcW w:w="1254" w:type="dxa"/>
          </w:tcPr>
          <w:p>
            <w:pPr>
              <w:adjustRightInd w:val="0"/>
              <w:snapToGrid w:val="0"/>
              <w:spacing w:line="440" w:lineRule="exact"/>
              <w:jc w:val="center"/>
              <w:rPr>
                <w:rFonts w:ascii="仿宋_GB2312" w:hAnsi="仿宋_GB2312" w:eastAsia="仿宋_GB2312" w:cs="仿宋_GB2312"/>
                <w:sz w:val="28"/>
                <w:szCs w:val="28"/>
              </w:rPr>
            </w:pPr>
          </w:p>
        </w:tc>
        <w:tc>
          <w:tcPr>
            <w:tcW w:w="597" w:type="dxa"/>
          </w:tcPr>
          <w:p>
            <w:pPr>
              <w:adjustRightInd w:val="0"/>
              <w:snapToGrid w:val="0"/>
              <w:spacing w:line="440" w:lineRule="exact"/>
              <w:jc w:val="center"/>
              <w:rPr>
                <w:rFonts w:ascii="仿宋_GB2312" w:hAnsi="仿宋_GB2312" w:eastAsia="仿宋_GB2312" w:cs="仿宋_GB2312"/>
                <w:sz w:val="28"/>
                <w:szCs w:val="28"/>
              </w:rPr>
            </w:pPr>
          </w:p>
        </w:tc>
        <w:tc>
          <w:tcPr>
            <w:tcW w:w="516" w:type="dxa"/>
          </w:tcPr>
          <w:p>
            <w:pPr>
              <w:adjustRightInd w:val="0"/>
              <w:snapToGrid w:val="0"/>
              <w:spacing w:line="440" w:lineRule="exact"/>
              <w:jc w:val="center"/>
              <w:rPr>
                <w:rFonts w:ascii="仿宋_GB2312" w:hAnsi="仿宋_GB2312" w:eastAsia="仿宋_GB2312" w:cs="仿宋_GB2312"/>
                <w:sz w:val="28"/>
                <w:szCs w:val="28"/>
              </w:rPr>
            </w:pPr>
          </w:p>
        </w:tc>
        <w:tc>
          <w:tcPr>
            <w:tcW w:w="1094"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1116" w:type="dxa"/>
          </w:tcPr>
          <w:p>
            <w:pPr>
              <w:adjustRightInd w:val="0"/>
              <w:snapToGrid w:val="0"/>
              <w:spacing w:line="44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adjustRightInd w:val="0"/>
              <w:snapToGrid w:val="0"/>
              <w:spacing w:line="440" w:lineRule="exact"/>
              <w:jc w:val="center"/>
              <w:rPr>
                <w:rFonts w:ascii="仿宋_GB2312" w:hAnsi="仿宋_GB2312" w:eastAsia="仿宋_GB2312" w:cs="仿宋_GB2312"/>
                <w:sz w:val="28"/>
                <w:szCs w:val="28"/>
              </w:rPr>
            </w:pPr>
          </w:p>
        </w:tc>
        <w:tc>
          <w:tcPr>
            <w:tcW w:w="1254" w:type="dxa"/>
          </w:tcPr>
          <w:p>
            <w:pPr>
              <w:adjustRightInd w:val="0"/>
              <w:snapToGrid w:val="0"/>
              <w:spacing w:line="440" w:lineRule="exact"/>
              <w:jc w:val="center"/>
              <w:rPr>
                <w:rFonts w:ascii="仿宋_GB2312" w:hAnsi="仿宋_GB2312" w:eastAsia="仿宋_GB2312" w:cs="仿宋_GB2312"/>
                <w:sz w:val="28"/>
                <w:szCs w:val="28"/>
              </w:rPr>
            </w:pPr>
          </w:p>
        </w:tc>
        <w:tc>
          <w:tcPr>
            <w:tcW w:w="597" w:type="dxa"/>
          </w:tcPr>
          <w:p>
            <w:pPr>
              <w:adjustRightInd w:val="0"/>
              <w:snapToGrid w:val="0"/>
              <w:spacing w:line="440" w:lineRule="exact"/>
              <w:jc w:val="center"/>
              <w:rPr>
                <w:rFonts w:ascii="仿宋_GB2312" w:hAnsi="仿宋_GB2312" w:eastAsia="仿宋_GB2312" w:cs="仿宋_GB2312"/>
                <w:sz w:val="28"/>
                <w:szCs w:val="28"/>
              </w:rPr>
            </w:pPr>
          </w:p>
        </w:tc>
        <w:tc>
          <w:tcPr>
            <w:tcW w:w="516" w:type="dxa"/>
          </w:tcPr>
          <w:p>
            <w:pPr>
              <w:adjustRightInd w:val="0"/>
              <w:snapToGrid w:val="0"/>
              <w:spacing w:line="440" w:lineRule="exact"/>
              <w:jc w:val="center"/>
              <w:rPr>
                <w:rFonts w:ascii="仿宋_GB2312" w:hAnsi="仿宋_GB2312" w:eastAsia="仿宋_GB2312" w:cs="仿宋_GB2312"/>
                <w:sz w:val="28"/>
                <w:szCs w:val="28"/>
              </w:rPr>
            </w:pPr>
          </w:p>
        </w:tc>
        <w:tc>
          <w:tcPr>
            <w:tcW w:w="1094"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943" w:type="dxa"/>
          </w:tcPr>
          <w:p>
            <w:pPr>
              <w:adjustRightInd w:val="0"/>
              <w:snapToGrid w:val="0"/>
              <w:spacing w:line="440" w:lineRule="exact"/>
              <w:jc w:val="center"/>
              <w:rPr>
                <w:rFonts w:ascii="仿宋_GB2312" w:hAnsi="仿宋_GB2312" w:eastAsia="仿宋_GB2312" w:cs="仿宋_GB2312"/>
                <w:sz w:val="28"/>
                <w:szCs w:val="28"/>
              </w:rPr>
            </w:pPr>
          </w:p>
        </w:tc>
        <w:tc>
          <w:tcPr>
            <w:tcW w:w="1116" w:type="dxa"/>
          </w:tcPr>
          <w:p>
            <w:pPr>
              <w:adjustRightInd w:val="0"/>
              <w:snapToGrid w:val="0"/>
              <w:spacing w:line="440" w:lineRule="exact"/>
              <w:jc w:val="center"/>
              <w:rPr>
                <w:rFonts w:ascii="仿宋_GB2312" w:hAnsi="仿宋_GB2312" w:eastAsia="仿宋_GB2312" w:cs="仿宋_GB2312"/>
                <w:sz w:val="28"/>
                <w:szCs w:val="28"/>
              </w:rPr>
            </w:pPr>
          </w:p>
        </w:tc>
      </w:tr>
    </w:tbl>
    <w:p>
      <w:pPr>
        <w:adjustRightInd w:val="0"/>
        <w:snapToGrid w:val="0"/>
        <w:spacing w:line="460" w:lineRule="exact"/>
        <w:ind w:left="1338" w:leftChars="180" w:hanging="960" w:hangingChars="300"/>
        <w:rPr>
          <w:rFonts w:ascii="仿宋_GB2312" w:eastAsia="仿宋_GB2312"/>
          <w:sz w:val="32"/>
          <w:szCs w:val="32"/>
        </w:rPr>
      </w:pPr>
      <w:r>
        <w:rPr>
          <w:rFonts w:hint="eastAsia" w:ascii="仿宋_GB2312" w:eastAsia="仿宋_GB2312"/>
          <w:sz w:val="32"/>
          <w:szCs w:val="32"/>
        </w:rPr>
        <w:t>注：1.此表用于签订协议书后的考生信息统计，不得改变表格样式和内容，不得漏填。</w:t>
      </w:r>
    </w:p>
    <w:p>
      <w:pPr>
        <w:adjustRightInd w:val="0"/>
        <w:snapToGrid w:val="0"/>
        <w:spacing w:line="460" w:lineRule="exact"/>
        <w:ind w:firstLine="992" w:firstLineChars="310"/>
        <w:rPr>
          <w:rFonts w:ascii="仿宋_GB2312" w:eastAsia="仿宋_GB2312"/>
          <w:sz w:val="32"/>
          <w:szCs w:val="32"/>
        </w:rPr>
      </w:pPr>
      <w:r>
        <w:rPr>
          <w:rFonts w:hint="eastAsia" w:ascii="仿宋_GB2312" w:eastAsia="仿宋_GB2312"/>
          <w:sz w:val="32"/>
          <w:szCs w:val="32"/>
        </w:rPr>
        <w:t>2.填报专业指临床医学、中医学、维医学。</w:t>
      </w:r>
    </w:p>
    <w:p>
      <w:pPr>
        <w:adjustRightInd w:val="0"/>
        <w:snapToGrid w:val="0"/>
        <w:spacing w:line="460" w:lineRule="exact"/>
        <w:ind w:firstLine="1004" w:firstLineChars="314"/>
        <w:rPr>
          <w:rFonts w:ascii="仿宋_GB2312" w:eastAsia="仿宋_GB2312"/>
          <w:sz w:val="32"/>
          <w:szCs w:val="32"/>
        </w:rPr>
      </w:pPr>
      <w:r>
        <w:rPr>
          <w:rFonts w:hint="eastAsia" w:ascii="仿宋_GB2312" w:eastAsia="仿宋_GB2312"/>
          <w:sz w:val="32"/>
          <w:szCs w:val="32"/>
        </w:rPr>
        <w:t>3.考试语种指汉语言、民语言、民考汉、双语班。</w:t>
      </w:r>
    </w:p>
    <w:p>
      <w:pPr>
        <w:pStyle w:val="2"/>
        <w:spacing w:line="520" w:lineRule="exact"/>
        <w:ind w:firstLine="960" w:firstLineChars="300"/>
        <w:rPr>
          <w:snapToGrid w:val="0"/>
          <w:spacing w:val="4"/>
        </w:rPr>
      </w:pPr>
      <w:r>
        <w:rPr>
          <w:rFonts w:hint="eastAsia"/>
          <w:spacing w:val="0"/>
          <w:kern w:val="2"/>
          <w:szCs w:val="32"/>
        </w:rPr>
        <w:t>4.在计算机内编辑完毕后每页打印盖章，不得手填。</w:t>
      </w:r>
    </w:p>
    <w:p>
      <w:pPr>
        <w:pStyle w:val="2"/>
        <w:spacing w:line="520" w:lineRule="exact"/>
        <w:rPr>
          <w:snapToGrid w:val="0"/>
          <w:spacing w:val="4"/>
        </w:rPr>
      </w:pPr>
    </w:p>
    <w:p>
      <w:pPr>
        <w:pStyle w:val="2"/>
        <w:spacing w:line="520" w:lineRule="exact"/>
        <w:rPr>
          <w:snapToGrid w:val="0"/>
          <w:spacing w:val="4"/>
        </w:rPr>
      </w:pPr>
    </w:p>
    <w:p>
      <w:pPr>
        <w:pStyle w:val="2"/>
        <w:spacing w:line="520" w:lineRule="exact"/>
        <w:rPr>
          <w:snapToGrid w:val="0"/>
          <w:spacing w:val="4"/>
        </w:rPr>
      </w:pPr>
    </w:p>
    <w:p>
      <w:pPr>
        <w:pStyle w:val="2"/>
        <w:spacing w:line="520" w:lineRule="exact"/>
        <w:rPr>
          <w:snapToGrid w:val="0"/>
          <w:spacing w:val="4"/>
        </w:rPr>
      </w:pPr>
    </w:p>
    <w:p>
      <w:pPr>
        <w:pStyle w:val="2"/>
        <w:spacing w:line="520" w:lineRule="exact"/>
        <w:rPr>
          <w:snapToGrid w:val="0"/>
          <w:spacing w:val="4"/>
        </w:rPr>
      </w:pPr>
    </w:p>
    <w:sectPr>
      <w:headerReference r:id="rId4" w:type="first"/>
      <w:footerReference r:id="rId7" w:type="first"/>
      <w:headerReference r:id="rId3" w:type="default"/>
      <w:footerReference r:id="rId5" w:type="default"/>
      <w:footerReference r:id="rId6" w:type="even"/>
      <w:pgSz w:w="11906" w:h="16838"/>
      <w:pgMar w:top="1701" w:right="1361" w:bottom="1474" w:left="1474" w:header="851" w:footer="126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41C614-B0E8-4258-A37C-8AC40FBC3D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embedRegular r:id="rId2" w:fontKey="{33E3C8BA-93F1-4456-8C44-EA91075E30EA}"/>
  </w:font>
  <w:font w:name="方正大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楷体">
    <w:altName w:val="微软雅黑"/>
    <w:panose1 w:val="00000000000000000000"/>
    <w:charset w:val="86"/>
    <w:family w:val="script"/>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3" w:fontKey="{4BA197D2-51F8-4524-A985-E600334FB92B}"/>
  </w:font>
  <w:font w:name="ˎ̥">
    <w:altName w:val="Times New Roman"/>
    <w:panose1 w:val="00000000000000000000"/>
    <w:charset w:val="00"/>
    <w:family w:val="roman"/>
    <w:pitch w:val="default"/>
    <w:sig w:usb0="00000000" w:usb1="00000000" w:usb2="00000000" w:usb3="00000000" w:csb0="00040001" w:csb1="00000000"/>
  </w:font>
  <w:font w:name="方正楷体简体">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0" w:type="auto"/>
      <w:tblInd w:w="0" w:type="dxa"/>
      <w:tblLayout w:type="fixed"/>
      <w:tblCellMar>
        <w:top w:w="0" w:type="dxa"/>
        <w:left w:w="108" w:type="dxa"/>
        <w:bottom w:w="0" w:type="dxa"/>
        <w:right w:w="108" w:type="dxa"/>
      </w:tblCellMar>
    </w:tblPr>
    <w:tblGrid>
      <w:gridCol w:w="9287"/>
    </w:tblGrid>
    <w:tr>
      <w:tblPrEx>
        <w:tblCellMar>
          <w:top w:w="0" w:type="dxa"/>
          <w:left w:w="108" w:type="dxa"/>
          <w:bottom w:w="0" w:type="dxa"/>
          <w:right w:w="108" w:type="dxa"/>
        </w:tblCellMar>
      </w:tblPrEx>
      <w:tc>
        <w:tcPr>
          <w:tcW w:w="9287" w:type="dxa"/>
        </w:tcPr>
        <w:p>
          <w:pPr>
            <w:pStyle w:val="5"/>
            <w:ind w:right="360"/>
            <w:jc w:val="center"/>
            <w:rPr>
              <w:rFonts w:ascii="方正楷体简体" w:eastAsia="方正楷体简体"/>
              <w:sz w:val="28"/>
              <w:szCs w:val="28"/>
            </w:rPr>
          </w:pPr>
          <w:r>
            <w:rPr>
              <w:rFonts w:hint="eastAsia" w:ascii="方正楷体简体" w:eastAsia="方正楷体简体"/>
              <w:sz w:val="28"/>
              <w:szCs w:val="28"/>
            </w:rPr>
            <w:t xml:space="preserve">- </w:t>
          </w:r>
          <w:r>
            <w:rPr>
              <w:sz w:val="24"/>
              <w:szCs w:val="24"/>
            </w:rPr>
            <w:fldChar w:fldCharType="begin"/>
          </w:r>
          <w:r>
            <w:rPr>
              <w:rStyle w:val="10"/>
              <w:sz w:val="24"/>
              <w:szCs w:val="24"/>
            </w:rPr>
            <w:instrText xml:space="preserve"> PAGE </w:instrText>
          </w:r>
          <w:r>
            <w:rPr>
              <w:sz w:val="24"/>
              <w:szCs w:val="24"/>
            </w:rPr>
            <w:fldChar w:fldCharType="separate"/>
          </w:r>
          <w:r>
            <w:rPr>
              <w:rStyle w:val="10"/>
              <w:sz w:val="24"/>
              <w:szCs w:val="24"/>
            </w:rPr>
            <w:t>2</w:t>
          </w:r>
          <w:r>
            <w:rPr>
              <w:sz w:val="24"/>
              <w:szCs w:val="24"/>
            </w:rPr>
            <w:fldChar w:fldCharType="end"/>
          </w:r>
          <w:r>
            <w:rPr>
              <w:rFonts w:hint="eastAsia" w:ascii="方正楷体简体" w:eastAsia="方正楷体简体"/>
              <w:sz w:val="28"/>
              <w:szCs w:val="28"/>
            </w:rPr>
            <w:t>-</w:t>
          </w:r>
        </w:p>
      </w:tc>
    </w:tr>
  </w:tbl>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0" w:type="auto"/>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87"/>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9287" w:type="dxa"/>
        </w:tcPr>
        <w:p>
          <w:pPr>
            <w:pStyle w:val="5"/>
            <w:wordWrap w:val="0"/>
            <w:jc w:val="right"/>
            <w:rPr>
              <w:rFonts w:ascii="方正楷体简体" w:eastAsia="方正楷体简体"/>
              <w:sz w:val="28"/>
              <w:szCs w:val="28"/>
            </w:rPr>
          </w:pPr>
          <w:r>
            <w:rPr>
              <w:rFonts w:hint="eastAsia" w:ascii="方正楷体简体" w:eastAsia="方正楷体简体"/>
              <w:sz w:val="28"/>
              <w:szCs w:val="28"/>
            </w:rPr>
            <w:t xml:space="preserve">共 </w:t>
          </w:r>
          <w:r>
            <w:rPr>
              <w:rFonts w:eastAsia="方正楷体简体"/>
              <w:sz w:val="28"/>
              <w:szCs w:val="28"/>
            </w:rPr>
            <w:fldChar w:fldCharType="begin"/>
          </w:r>
          <w:r>
            <w:rPr>
              <w:rStyle w:val="10"/>
              <w:rFonts w:eastAsia="方正楷体简体"/>
              <w:sz w:val="28"/>
              <w:szCs w:val="28"/>
            </w:rPr>
            <w:instrText xml:space="preserve"> NUMPAGES </w:instrText>
          </w:r>
          <w:r>
            <w:rPr>
              <w:rFonts w:eastAsia="方正楷体简体"/>
              <w:sz w:val="28"/>
              <w:szCs w:val="28"/>
            </w:rPr>
            <w:fldChar w:fldCharType="separate"/>
          </w:r>
          <w:r>
            <w:rPr>
              <w:rStyle w:val="10"/>
              <w:rFonts w:eastAsia="方正楷体简体"/>
              <w:sz w:val="28"/>
              <w:szCs w:val="28"/>
            </w:rPr>
            <w:t>14</w:t>
          </w:r>
          <w:r>
            <w:rPr>
              <w:rFonts w:eastAsia="方正楷体简体"/>
              <w:sz w:val="28"/>
              <w:szCs w:val="28"/>
            </w:rPr>
            <w:fldChar w:fldCharType="end"/>
          </w:r>
          <w:r>
            <w:rPr>
              <w:rFonts w:hint="eastAsia" w:ascii="方正楷体简体" w:eastAsia="方正楷体简体"/>
              <w:sz w:val="28"/>
              <w:szCs w:val="28"/>
            </w:rPr>
            <w:t xml:space="preserve"> 页</w:t>
          </w:r>
        </w:p>
      </w:tc>
    </w:tr>
  </w:tbl>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tab/>
    </w:r>
    <w:r>
      <w:tab/>
    </w:r>
    <w:r>
      <w:tab/>
    </w:r>
    <w: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1E0"/>
    <w:rsid w:val="00002138"/>
    <w:rsid w:val="00002B90"/>
    <w:rsid w:val="000044FD"/>
    <w:rsid w:val="000129B5"/>
    <w:rsid w:val="00020D76"/>
    <w:rsid w:val="00076413"/>
    <w:rsid w:val="00084524"/>
    <w:rsid w:val="0009710D"/>
    <w:rsid w:val="000B3067"/>
    <w:rsid w:val="000B69E9"/>
    <w:rsid w:val="000E0A69"/>
    <w:rsid w:val="000E61F3"/>
    <w:rsid w:val="000E6A44"/>
    <w:rsid w:val="00103890"/>
    <w:rsid w:val="001427F8"/>
    <w:rsid w:val="001465E3"/>
    <w:rsid w:val="00146AD0"/>
    <w:rsid w:val="00152A8D"/>
    <w:rsid w:val="00175EF3"/>
    <w:rsid w:val="001805B0"/>
    <w:rsid w:val="00191A1B"/>
    <w:rsid w:val="001939CE"/>
    <w:rsid w:val="001970A4"/>
    <w:rsid w:val="001A68F3"/>
    <w:rsid w:val="001D1087"/>
    <w:rsid w:val="001D21E0"/>
    <w:rsid w:val="001D7689"/>
    <w:rsid w:val="001E2758"/>
    <w:rsid w:val="001F0516"/>
    <w:rsid w:val="00210E4A"/>
    <w:rsid w:val="00241526"/>
    <w:rsid w:val="002431EE"/>
    <w:rsid w:val="00247D1B"/>
    <w:rsid w:val="00256617"/>
    <w:rsid w:val="00267DDE"/>
    <w:rsid w:val="00275697"/>
    <w:rsid w:val="00276A95"/>
    <w:rsid w:val="00283491"/>
    <w:rsid w:val="0029036A"/>
    <w:rsid w:val="00291D73"/>
    <w:rsid w:val="00294294"/>
    <w:rsid w:val="00294C90"/>
    <w:rsid w:val="00295965"/>
    <w:rsid w:val="002A2C16"/>
    <w:rsid w:val="002A5084"/>
    <w:rsid w:val="002D6BC7"/>
    <w:rsid w:val="002F0362"/>
    <w:rsid w:val="002F25E1"/>
    <w:rsid w:val="0030279A"/>
    <w:rsid w:val="003250A6"/>
    <w:rsid w:val="00341127"/>
    <w:rsid w:val="003413DD"/>
    <w:rsid w:val="00354FBD"/>
    <w:rsid w:val="00357F62"/>
    <w:rsid w:val="0037435F"/>
    <w:rsid w:val="003764A2"/>
    <w:rsid w:val="00383619"/>
    <w:rsid w:val="003A2497"/>
    <w:rsid w:val="003A31F8"/>
    <w:rsid w:val="003A62A3"/>
    <w:rsid w:val="003A6517"/>
    <w:rsid w:val="003C268B"/>
    <w:rsid w:val="003D1CE1"/>
    <w:rsid w:val="003F64B1"/>
    <w:rsid w:val="00402E2A"/>
    <w:rsid w:val="004114C9"/>
    <w:rsid w:val="004217DD"/>
    <w:rsid w:val="00437E46"/>
    <w:rsid w:val="00440B6B"/>
    <w:rsid w:val="00443B47"/>
    <w:rsid w:val="00464B40"/>
    <w:rsid w:val="004669F8"/>
    <w:rsid w:val="004673EC"/>
    <w:rsid w:val="00472CD1"/>
    <w:rsid w:val="00481E1D"/>
    <w:rsid w:val="004A2672"/>
    <w:rsid w:val="004A7C4D"/>
    <w:rsid w:val="004D4A01"/>
    <w:rsid w:val="004E5CCC"/>
    <w:rsid w:val="004F1D40"/>
    <w:rsid w:val="004F6535"/>
    <w:rsid w:val="00524E7D"/>
    <w:rsid w:val="00532C31"/>
    <w:rsid w:val="0054712A"/>
    <w:rsid w:val="00551FBD"/>
    <w:rsid w:val="00553FEA"/>
    <w:rsid w:val="00570D75"/>
    <w:rsid w:val="00571BF6"/>
    <w:rsid w:val="0057538D"/>
    <w:rsid w:val="00576652"/>
    <w:rsid w:val="0058442A"/>
    <w:rsid w:val="00584553"/>
    <w:rsid w:val="00586422"/>
    <w:rsid w:val="00596F2A"/>
    <w:rsid w:val="005A6989"/>
    <w:rsid w:val="005B6A2D"/>
    <w:rsid w:val="005C2AC5"/>
    <w:rsid w:val="005C6B28"/>
    <w:rsid w:val="005D7F58"/>
    <w:rsid w:val="005F25F0"/>
    <w:rsid w:val="005F66D4"/>
    <w:rsid w:val="0060275E"/>
    <w:rsid w:val="00612E56"/>
    <w:rsid w:val="00632D04"/>
    <w:rsid w:val="00661F98"/>
    <w:rsid w:val="00662712"/>
    <w:rsid w:val="0068233E"/>
    <w:rsid w:val="00684A62"/>
    <w:rsid w:val="006971DF"/>
    <w:rsid w:val="006C18E0"/>
    <w:rsid w:val="006D0357"/>
    <w:rsid w:val="006D7A9C"/>
    <w:rsid w:val="00711FA1"/>
    <w:rsid w:val="00734881"/>
    <w:rsid w:val="00737F9F"/>
    <w:rsid w:val="00750192"/>
    <w:rsid w:val="007657C6"/>
    <w:rsid w:val="007672DB"/>
    <w:rsid w:val="00773659"/>
    <w:rsid w:val="0077588C"/>
    <w:rsid w:val="007804A0"/>
    <w:rsid w:val="007853E3"/>
    <w:rsid w:val="007868E5"/>
    <w:rsid w:val="007A0DCF"/>
    <w:rsid w:val="007B4089"/>
    <w:rsid w:val="007B6939"/>
    <w:rsid w:val="007C4448"/>
    <w:rsid w:val="007E49A2"/>
    <w:rsid w:val="007F6EAF"/>
    <w:rsid w:val="00833A65"/>
    <w:rsid w:val="0083454F"/>
    <w:rsid w:val="00846577"/>
    <w:rsid w:val="00847FA4"/>
    <w:rsid w:val="008628AE"/>
    <w:rsid w:val="00887624"/>
    <w:rsid w:val="00895C6C"/>
    <w:rsid w:val="008B1108"/>
    <w:rsid w:val="008D0BEC"/>
    <w:rsid w:val="008D0E81"/>
    <w:rsid w:val="008D20C7"/>
    <w:rsid w:val="008E3DEA"/>
    <w:rsid w:val="008F2A3E"/>
    <w:rsid w:val="00934EF5"/>
    <w:rsid w:val="00974746"/>
    <w:rsid w:val="009A00E3"/>
    <w:rsid w:val="009C71CB"/>
    <w:rsid w:val="009E0905"/>
    <w:rsid w:val="00A033A3"/>
    <w:rsid w:val="00A12719"/>
    <w:rsid w:val="00A16138"/>
    <w:rsid w:val="00A42262"/>
    <w:rsid w:val="00A71850"/>
    <w:rsid w:val="00A826E6"/>
    <w:rsid w:val="00A90632"/>
    <w:rsid w:val="00A97293"/>
    <w:rsid w:val="00AA1042"/>
    <w:rsid w:val="00AA7A59"/>
    <w:rsid w:val="00AC6C82"/>
    <w:rsid w:val="00AF3D47"/>
    <w:rsid w:val="00B123E4"/>
    <w:rsid w:val="00B1722B"/>
    <w:rsid w:val="00B4290B"/>
    <w:rsid w:val="00B429C9"/>
    <w:rsid w:val="00B50B89"/>
    <w:rsid w:val="00B57675"/>
    <w:rsid w:val="00B617DC"/>
    <w:rsid w:val="00B74468"/>
    <w:rsid w:val="00B81A02"/>
    <w:rsid w:val="00B8306A"/>
    <w:rsid w:val="00B96EE9"/>
    <w:rsid w:val="00BA75E8"/>
    <w:rsid w:val="00BE16C1"/>
    <w:rsid w:val="00BE71E1"/>
    <w:rsid w:val="00BF1C1D"/>
    <w:rsid w:val="00C03B54"/>
    <w:rsid w:val="00C06923"/>
    <w:rsid w:val="00C10FB7"/>
    <w:rsid w:val="00C11456"/>
    <w:rsid w:val="00C12129"/>
    <w:rsid w:val="00C230C1"/>
    <w:rsid w:val="00C33E76"/>
    <w:rsid w:val="00C45360"/>
    <w:rsid w:val="00C6655A"/>
    <w:rsid w:val="00C701FE"/>
    <w:rsid w:val="00C72AA5"/>
    <w:rsid w:val="00C96C76"/>
    <w:rsid w:val="00CB29A2"/>
    <w:rsid w:val="00CD10B3"/>
    <w:rsid w:val="00CD7AE2"/>
    <w:rsid w:val="00CF16EC"/>
    <w:rsid w:val="00CF6BF4"/>
    <w:rsid w:val="00D021E6"/>
    <w:rsid w:val="00D120AF"/>
    <w:rsid w:val="00D26832"/>
    <w:rsid w:val="00D346A7"/>
    <w:rsid w:val="00D57A39"/>
    <w:rsid w:val="00D61A9F"/>
    <w:rsid w:val="00D64AD4"/>
    <w:rsid w:val="00D67BB5"/>
    <w:rsid w:val="00D72AD9"/>
    <w:rsid w:val="00DB0FD9"/>
    <w:rsid w:val="00DC66BF"/>
    <w:rsid w:val="00DE5964"/>
    <w:rsid w:val="00DF00E8"/>
    <w:rsid w:val="00DF520D"/>
    <w:rsid w:val="00E168B9"/>
    <w:rsid w:val="00E277A6"/>
    <w:rsid w:val="00E37112"/>
    <w:rsid w:val="00E72677"/>
    <w:rsid w:val="00E7402B"/>
    <w:rsid w:val="00E84E3C"/>
    <w:rsid w:val="00E94C5F"/>
    <w:rsid w:val="00EA7589"/>
    <w:rsid w:val="00EA79DC"/>
    <w:rsid w:val="00EB3AE1"/>
    <w:rsid w:val="00EC22C7"/>
    <w:rsid w:val="00EC6C41"/>
    <w:rsid w:val="00EF3331"/>
    <w:rsid w:val="00EF392B"/>
    <w:rsid w:val="00F02F32"/>
    <w:rsid w:val="00F052EB"/>
    <w:rsid w:val="00F17DBD"/>
    <w:rsid w:val="00F3386D"/>
    <w:rsid w:val="00F343E3"/>
    <w:rsid w:val="00F4394A"/>
    <w:rsid w:val="00F52ACD"/>
    <w:rsid w:val="00F57CD9"/>
    <w:rsid w:val="00F6752C"/>
    <w:rsid w:val="00F86F2F"/>
    <w:rsid w:val="00F92141"/>
    <w:rsid w:val="00FD6B4E"/>
    <w:rsid w:val="00FF5764"/>
    <w:rsid w:val="00FF6758"/>
    <w:rsid w:val="14227B27"/>
    <w:rsid w:val="16DB68C7"/>
    <w:rsid w:val="1F1A1EA2"/>
    <w:rsid w:val="2D3C4809"/>
    <w:rsid w:val="41B72E66"/>
    <w:rsid w:val="47893B87"/>
    <w:rsid w:val="49B70EFF"/>
    <w:rsid w:val="6A7E4C4E"/>
    <w:rsid w:val="6D647BC5"/>
    <w:rsid w:val="73362793"/>
    <w:rsid w:val="75CD6A36"/>
    <w:rsid w:val="763964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uiPriority w:val="0"/>
    <w:pPr>
      <w:autoSpaceDE w:val="0"/>
      <w:autoSpaceDN w:val="0"/>
      <w:adjustRightInd w:val="0"/>
      <w:snapToGrid w:val="0"/>
      <w:spacing w:line="580" w:lineRule="exact"/>
      <w:textAlignment w:val="baseline"/>
    </w:pPr>
    <w:rPr>
      <w:rFonts w:ascii="仿宋_GB2312" w:eastAsia="仿宋_GB2312"/>
      <w:spacing w:val="-20"/>
      <w:kern w:val="0"/>
      <w:sz w:val="32"/>
      <w:szCs w:val="20"/>
    </w:rPr>
  </w:style>
  <w:style w:type="paragraph" w:styleId="3">
    <w:name w:val="Date"/>
    <w:basedOn w:val="1"/>
    <w:next w:val="1"/>
    <w:uiPriority w:val="0"/>
    <w:pPr>
      <w:ind w:left="100" w:leftChars="2500"/>
    </w:p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next w:val="2"/>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uiPriority w:val="0"/>
    <w:pPr>
      <w:spacing w:after="120" w:line="480" w:lineRule="auto"/>
    </w:pPr>
  </w:style>
  <w:style w:type="character" w:styleId="10">
    <w:name w:val="page number"/>
    <w:basedOn w:val="9"/>
    <w:uiPriority w:val="0"/>
  </w:style>
  <w:style w:type="character" w:customStyle="1" w:styleId="11">
    <w:name w:val="正文文本 Char"/>
    <w:basedOn w:val="9"/>
    <w:link w:val="2"/>
    <w:qFormat/>
    <w:uiPriority w:val="0"/>
    <w:rPr>
      <w:rFonts w:ascii="仿宋_GB2312" w:eastAsia="仿宋_GB2312"/>
      <w:spacing w:val="-20"/>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5418</Words>
  <Characters>966</Characters>
  <Lines>8</Lines>
  <Paragraphs>12</Paragraphs>
  <TotalTime>1</TotalTime>
  <ScaleCrop>false</ScaleCrop>
  <LinksUpToDate>false</LinksUpToDate>
  <CharactersWithSpaces>6372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2020-01-13T07:53:00Z</dcterms:created>
  <dc:creator>txc</dc:creator>
  <cp:lastModifiedBy>程俊翕</cp:lastModifiedBy>
  <cp:lastPrinted>2020-07-10T12:56:00Z</cp:lastPrinted>
  <dcterms:modified xsi:type="dcterms:W3CDTF">2020-07-13T04:26:00Z</dcterms:modified>
  <dc:title>一师阿拉尔市发电</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